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40"/>
        <w:jc w:val="center"/>
      </w:pPr>
      <w:r>
        <w:rPr>
          <w:b/>
          <w:color w:val="111B35"/>
          <w:sz w:val="26"/>
        </w:rPr>
        <w:t>HỌC VIỆN Y – DƯỢC HỌC CỔ TRUYỀN VIỆT NAM</w:t>
        <w:br/>
      </w:r>
      <w:r>
        <w:rPr>
          <w:b/>
          <w:color w:val="4336A4"/>
          <w:sz w:val="22"/>
        </w:rPr>
        <w:t>PHÒNG KHOA HỌC CÔNG NGHỆ VÀ HỢP TÁC QUỐC TẾ</w:t>
      </w:r>
    </w:p>
    <w:p>
      <w:pPr>
        <w:spacing w:before="80" w:after="800"/>
        <w:jc w:val="center"/>
      </w:pPr>
      <w:r>
        <w:rPr>
          <w:color w:val="0E948E"/>
        </w:rPr>
        <w:t>━━━━━━━━━━━━━━━━━━━━━━━━━━━━━━</w:t>
      </w:r>
    </w:p>
    <w:p>
      <w:pPr>
        <w:spacing w:before="400" w:after="280"/>
        <w:jc w:val="center"/>
      </w:pPr>
      <w:r>
        <w:rPr>
          <w:b/>
          <w:color w:val="111B35"/>
          <w:sz w:val="36"/>
        </w:rPr>
        <w:t>ĐỀ XUẤT XÂY DỰNG HỆ THỐNG QUẢN LÝ HOẠT ĐỘNG KHOA HỌC, CÔNG NGHỆ VÀ ĐỔI MỚI SÁNG TẠO</w:t>
      </w:r>
    </w:p>
    <w:p>
      <w:pPr>
        <w:spacing w:before="0" w:after="800"/>
        <w:jc w:val="center"/>
      </w:pPr>
      <w:r>
        <w:rPr>
          <w:i/>
          <w:color w:val="64748B"/>
          <w:sz w:val="23"/>
        </w:rPr>
        <w:t>Tài liệu xem xét, trao đổi và thống nhất chức năng nghiệp vụ</w:t>
        <w:br/>
        <w:t>Bản đề xuất V2 • Ngày 09 tháng 10 năm 2026</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4677"/>
        <w:gridCol w:w="4677"/>
      </w:tblGrid>
      <w:tr>
        <w:tc>
          <w:tcPr>
            <w:tcW w:type="dxa" w:w="2835"/>
            <w:shd w:fill="EDF1FC"/>
            <w:tcMar>
              <w:top w:w="100" w:type="dxa"/>
              <w:bottom w:w="100" w:type="dxa"/>
              <w:left w:w="140" w:type="dxa"/>
              <w:right w:w="140" w:type="dxa"/>
            </w:tcMar>
          </w:tcPr>
          <w:p>
            <w:r>
              <w:rPr>
                <w:rFonts w:ascii="Arial" w:hAnsi="Arial"/>
                <w:b/>
                <w:color w:val="111B35"/>
                <w:sz w:val="19"/>
              </w:rPr>
              <w:t>Đơn vị tiếp nhận</w:t>
            </w:r>
          </w:p>
        </w:tc>
        <w:tc>
          <w:tcPr>
            <w:tcW w:type="dxa" w:w="6520"/>
            <w:shd w:fill="F8FAFC"/>
            <w:tcMar>
              <w:top w:w="100" w:type="dxa"/>
              <w:bottom w:w="100" w:type="dxa"/>
              <w:left w:w="140" w:type="dxa"/>
              <w:right w:w="140" w:type="dxa"/>
            </w:tcMar>
          </w:tcPr>
          <w:p>
            <w:r>
              <w:rPr>
                <w:rFonts w:ascii="Arial" w:hAnsi="Arial"/>
                <w:color w:val="1E293B"/>
                <w:sz w:val="19"/>
              </w:rPr>
              <w:t>Học viện Y – Dược học cổ truyền Việt Nam</w:t>
            </w:r>
          </w:p>
        </w:tc>
      </w:tr>
      <w:tr>
        <w:tc>
          <w:tcPr>
            <w:tcW w:type="dxa" w:w="2835"/>
            <w:shd w:fill="EDF1FC"/>
            <w:tcMar>
              <w:top w:w="100" w:type="dxa"/>
              <w:bottom w:w="100" w:type="dxa"/>
              <w:left w:w="140" w:type="dxa"/>
              <w:right w:w="140" w:type="dxa"/>
            </w:tcMar>
          </w:tcPr>
          <w:p>
            <w:r>
              <w:rPr>
                <w:rFonts w:ascii="Arial" w:hAnsi="Arial"/>
                <w:b/>
                <w:color w:val="111B35"/>
                <w:sz w:val="19"/>
              </w:rPr>
              <w:t>Đơn vị quản lý chuyên môn</w:t>
            </w:r>
          </w:p>
        </w:tc>
        <w:tc>
          <w:tcPr>
            <w:tcW w:type="dxa" w:w="6520"/>
            <w:shd w:fill="F8FAFC"/>
            <w:tcMar>
              <w:top w:w="100" w:type="dxa"/>
              <w:bottom w:w="100" w:type="dxa"/>
              <w:left w:w="140" w:type="dxa"/>
              <w:right w:w="140" w:type="dxa"/>
            </w:tcMar>
          </w:tcPr>
          <w:p>
            <w:r>
              <w:rPr>
                <w:rFonts w:ascii="Arial" w:hAnsi="Arial"/>
                <w:color w:val="1E293B"/>
                <w:sz w:val="19"/>
              </w:rPr>
              <w:t>Phòng Khoa học &amp; Công nghệ</w:t>
            </w:r>
          </w:p>
        </w:tc>
      </w:tr>
      <w:tr>
        <w:tc>
          <w:tcPr>
            <w:tcW w:type="dxa" w:w="2835"/>
            <w:shd w:fill="EDF1FC"/>
            <w:tcMar>
              <w:top w:w="100" w:type="dxa"/>
              <w:bottom w:w="100" w:type="dxa"/>
              <w:left w:w="140" w:type="dxa"/>
              <w:right w:w="140" w:type="dxa"/>
            </w:tcMar>
          </w:tcPr>
          <w:p>
            <w:r>
              <w:rPr>
                <w:rFonts w:ascii="Arial" w:hAnsi="Arial"/>
                <w:b/>
                <w:color w:val="111B35"/>
                <w:sz w:val="19"/>
              </w:rPr>
              <w:t>Đối tượng người dùng</w:t>
            </w:r>
          </w:p>
        </w:tc>
        <w:tc>
          <w:tcPr>
            <w:tcW w:type="dxa" w:w="6520"/>
            <w:shd w:fill="F8FAFC"/>
            <w:tcMar>
              <w:top w:w="100" w:type="dxa"/>
              <w:bottom w:w="100" w:type="dxa"/>
              <w:left w:w="140" w:type="dxa"/>
              <w:right w:w="140" w:type="dxa"/>
            </w:tcMar>
          </w:tcPr>
          <w:p>
            <w:r>
              <w:rPr>
                <w:rFonts w:ascii="Arial" w:hAnsi="Arial"/>
                <w:color w:val="1E293B"/>
                <w:sz w:val="19"/>
              </w:rPr>
              <w:t>Ban Giám đốc, Lãnh đạo Khoa/Bộ môn, Giảng viên, Nhà khoa học, Hội đồng thẩm định &amp; Chuyên viên quản lý</w:t>
            </w:r>
          </w:p>
        </w:tc>
      </w:tr>
      <w:tr>
        <w:tc>
          <w:tcPr>
            <w:tcW w:type="dxa" w:w="2835"/>
            <w:shd w:fill="EDF1FC"/>
            <w:tcMar>
              <w:top w:w="100" w:type="dxa"/>
              <w:bottom w:w="100" w:type="dxa"/>
              <w:left w:w="140" w:type="dxa"/>
              <w:right w:w="140" w:type="dxa"/>
            </w:tcMar>
          </w:tcPr>
          <w:p>
            <w:r>
              <w:rPr>
                <w:rFonts w:ascii="Arial" w:hAnsi="Arial"/>
                <w:b/>
                <w:color w:val="111B35"/>
                <w:sz w:val="19"/>
              </w:rPr>
              <w:t>Quy mô định hướng</w:t>
            </w:r>
          </w:p>
        </w:tc>
        <w:tc>
          <w:tcPr>
            <w:tcW w:type="dxa" w:w="6520"/>
            <w:shd w:fill="F8FAFC"/>
            <w:tcMar>
              <w:top w:w="100" w:type="dxa"/>
              <w:bottom w:w="100" w:type="dxa"/>
              <w:left w:w="140" w:type="dxa"/>
              <w:right w:w="140" w:type="dxa"/>
            </w:tcMar>
          </w:tcPr>
          <w:p>
            <w:r>
              <w:rPr>
                <w:rFonts w:ascii="Arial" w:hAnsi="Arial"/>
                <w:color w:val="1E293B"/>
                <w:sz w:val="19"/>
              </w:rPr>
              <w:t>~500 hồ sơ cán bộ/giảng viên; ~50 đề tài KHCN/năm (40 đề tài GV, 10 đề tài SV)</w:t>
            </w:r>
          </w:p>
        </w:tc>
      </w:tr>
      <w:tr>
        <w:tc>
          <w:tcPr>
            <w:tcW w:type="dxa" w:w="2835"/>
            <w:shd w:fill="EDF1FC"/>
            <w:tcMar>
              <w:top w:w="100" w:type="dxa"/>
              <w:bottom w:w="100" w:type="dxa"/>
              <w:left w:w="140" w:type="dxa"/>
              <w:right w:w="140" w:type="dxa"/>
            </w:tcMar>
          </w:tcPr>
          <w:p>
            <w:r>
              <w:rPr>
                <w:rFonts w:ascii="Arial" w:hAnsi="Arial"/>
                <w:b/>
                <w:color w:val="111B35"/>
                <w:sz w:val="19"/>
              </w:rPr>
              <w:t>Tình trạng tài liệu</w:t>
            </w:r>
          </w:p>
        </w:tc>
        <w:tc>
          <w:tcPr>
            <w:tcW w:type="dxa" w:w="6520"/>
            <w:shd w:fill="F8FAFC"/>
            <w:tcMar>
              <w:top w:w="100" w:type="dxa"/>
              <w:bottom w:w="100" w:type="dxa"/>
              <w:left w:w="140" w:type="dxa"/>
              <w:right w:w="140" w:type="dxa"/>
            </w:tcMar>
          </w:tcPr>
          <w:p>
            <w:r>
              <w:rPr>
                <w:rFonts w:ascii="Arial" w:hAnsi="Arial"/>
                <w:color w:val="1E293B"/>
                <w:sz w:val="19"/>
              </w:rPr>
              <w:t>Bản thảo V2 lấy ý kiến nghiệp vụ (chưa phải quy định chính thức)</w:t>
            </w:r>
          </w:p>
        </w:tc>
      </w:tr>
      <w:tr>
        <w:tc>
          <w:tcPr>
            <w:tcW w:type="dxa" w:w="2835"/>
            <w:shd w:fill="EDF1FC"/>
            <w:tcMar>
              <w:top w:w="100" w:type="dxa"/>
              <w:bottom w:w="100" w:type="dxa"/>
              <w:left w:w="140" w:type="dxa"/>
              <w:right w:w="140" w:type="dxa"/>
            </w:tcMar>
          </w:tcPr>
          <w:p>
            <w:r>
              <w:rPr>
                <w:rFonts w:ascii="Arial" w:hAnsi="Arial"/>
                <w:b/>
                <w:color w:val="111B35"/>
                <w:sz w:val="19"/>
              </w:rPr>
              <w:t>Phương thức tra cứu &amp; Demo</w:t>
            </w:r>
          </w:p>
        </w:tc>
        <w:tc>
          <w:tcPr>
            <w:tcW w:type="dxa" w:w="6520"/>
            <w:shd w:fill="F8FAFC"/>
            <w:tcMar>
              <w:top w:w="100" w:type="dxa"/>
              <w:bottom w:w="100" w:type="dxa"/>
              <w:left w:w="140" w:type="dxa"/>
              <w:right w:w="140" w:type="dxa"/>
            </w:tcMar>
          </w:tcPr>
          <w:p>
            <w:r>
              <w:rPr>
                <w:rFonts w:ascii="Arial" w:hAnsi="Arial"/>
                <w:color w:val="1E293B"/>
                <w:sz w:val="19"/>
              </w:rPr>
              <w:t>Hỗ trợ đọc trực tiếp qua Web Portal và tương tác Prototype mô phỏng</w:t>
            </w:r>
          </w:p>
        </w:tc>
      </w:tr>
    </w:tbl>
    <w:p>
      <w:pPr>
        <w:spacing w:before="800"/>
        <w:jc w:val="center"/>
      </w:pPr>
      <w:r>
        <w:rPr>
          <w:i/>
          <w:color w:val="64748B"/>
          <w:sz w:val="20"/>
        </w:rPr>
        <w:t>Hà Nội, Tháng 10/2026</w:t>
      </w:r>
    </w:p>
    <w:p>
      <w:r>
        <w:br w:type="page"/>
      </w:r>
    </w:p>
    <w:tbl>
      <w:tblPr>
        <w:tblW w:type="auto" w:w="0"/>
        <w:jc w:val="center"/>
        <w:tblLayout w:type="fixed"/>
        <w:tblLook w:firstColumn="1" w:firstRow="1" w:lastColumn="0" w:lastRow="0" w:noHBand="0" w:noVBand="1" w:val="04A0"/>
      </w:tblPr>
      <w:tblGrid>
        <w:gridCol w:w="9354"/>
      </w:tblGrid>
      <w:tr>
        <w:tc>
          <w:tcPr>
            <w:tcW w:type="dxa" w:w="9355"/>
            <w:shd w:fill="F4F6FD"/>
            <w:tcBorders>
              <w:top w:val="none"/>
              <w:left w:val="single" w:sz="28" w:space="0" w:color="4336A4"/>
              <w:bottom w:val="none"/>
              <w:right w:val="none"/>
            </w:tcBorders>
            <w:tcMar>
              <w:top w:w="160" w:type="dxa"/>
              <w:bottom w:w="160" w:type="dxa"/>
              <w:left w:w="220" w:type="dxa"/>
              <w:right w:w="180" w:type="dxa"/>
            </w:tcMar>
          </w:tcPr>
          <w:p>
            <w:pPr>
              <w:spacing w:line="288" w:lineRule="auto" w:after="40"/>
            </w:pPr>
            <w:r>
              <w:rPr>
                <w:rFonts w:ascii="Arial" w:hAnsi="Arial"/>
                <w:b/>
                <w:color w:val="4336A4"/>
                <w:sz w:val="20"/>
              </w:rPr>
              <w:t>LƯU Ý NGHIỆP VỤ QUAN TRỌNG</w:t>
              <w:br/>
            </w:r>
            <w:r>
              <w:rPr>
                <w:rFonts w:ascii="Arial" w:hAnsi="Arial"/>
                <w:color w:val="1E293B"/>
                <w:sz w:val="19"/>
              </w:rPr>
              <w:t>Trạng thái tài liệu: Đề xuất để lấy ý kiến; chưa phải tài liệu yêu cầu chính thức, quy định đã ban hành hoặc cam kết triển khai. Các màn hình và số liệu hiển thị trong bản mẫu chỉ để minh họa. Những nội dung liên quan chữ ký số pháp lý, thẩm quyền, thời hạn xử lý và cơ cấu hội đồng sẽ được Học viện xác nhận theo quy chế hiện hành.</w:t>
            </w:r>
          </w:p>
        </w:tc>
      </w:tr>
    </w:tbl>
    <w:p>
      <w:pPr>
        <w:spacing w:before="0" w:after="80"/>
      </w:pPr>
    </w:p>
    <w:p>
      <w:pPr>
        <w:keepNext/>
        <w:spacing w:before="320" w:after="120"/>
      </w:pPr>
      <w:r>
        <w:rPr>
          <w:rFonts w:ascii="Arial" w:hAnsi="Arial"/>
          <w:b/>
          <w:color w:val="111B35"/>
          <w:sz w:val="28"/>
        </w:rPr>
        <w:t>MỤC LỤC TỔNG THỂ</w:t>
      </w:r>
    </w:p>
    <w:p>
      <w:pPr>
        <w:spacing w:before="20" w:after="40"/>
      </w:pPr>
      <w:r>
        <w:rPr>
          <w:b/>
          <w:color w:val="111B35"/>
          <w:sz w:val="20"/>
        </w:rPr>
        <w:t>• TÓM TẮT ĐIỀU HÀNH</w:t>
      </w:r>
      <w:r>
        <w:rPr>
          <w:color w:val="64748B"/>
          <w:sz w:val="19"/>
        </w:rPr>
        <w:t>: Bối cảnh đặc thù Học viện Y – Dược và tầm nhìn không gian làm việc số</w:t>
      </w:r>
    </w:p>
    <w:p>
      <w:pPr>
        <w:spacing w:before="20" w:after="40"/>
      </w:pPr>
      <w:r>
        <w:rPr>
          <w:b/>
          <w:color w:val="111B35"/>
          <w:sz w:val="20"/>
        </w:rPr>
        <w:t>• PHẦN 1. VÌ SAO HỌC VIỆN CẦN CÓ HỆ THỐNG NÀY?</w:t>
      </w:r>
      <w:r>
        <w:rPr>
          <w:color w:val="64748B"/>
          <w:sz w:val="19"/>
        </w:rPr>
        <w:t>: Thực trạng phân mảnh, mục tiêu chuẩn hóa và quy mô định hướng</w:t>
      </w:r>
    </w:p>
    <w:p>
      <w:pPr>
        <w:spacing w:before="20" w:after="40"/>
      </w:pPr>
      <w:r>
        <w:rPr>
          <w:b/>
          <w:color w:val="111B35"/>
          <w:sz w:val="20"/>
        </w:rPr>
        <w:t>• PHẦN 2. LỢI ÍCH KHI SỬ DỤNG HỆ THỐNG</w:t>
      </w:r>
      <w:r>
        <w:rPr>
          <w:color w:val="64748B"/>
          <w:sz w:val="19"/>
        </w:rPr>
        <w:t>: Giá trị cụ thể cho Giám đốc, Phòng KHCN, Giảng viên, Hội đồng và dài hạn</w:t>
      </w:r>
    </w:p>
    <w:p>
      <w:pPr>
        <w:spacing w:before="20" w:after="40"/>
      </w:pPr>
      <w:r>
        <w:rPr>
          <w:b/>
          <w:color w:val="111B35"/>
          <w:sz w:val="20"/>
        </w:rPr>
        <w:t>• PHẦN 3. ĐỀ XUẤT CHI TIẾT 21 NHÓM CHỨC NĂNG NGHIỆP VỤ</w:t>
      </w:r>
      <w:r>
        <w:rPr>
          <w:color w:val="64748B"/>
          <w:sz w:val="19"/>
        </w:rPr>
        <w:t>: Mô tả đầy đủ 21 nhóm chức năng dưới góc nhìn công việc Thầy cô</w:t>
      </w:r>
    </w:p>
    <w:p>
      <w:pPr>
        <w:spacing w:before="20" w:after="40"/>
      </w:pPr>
      <w:r>
        <w:rPr>
          <w:b/>
          <w:color w:val="111B35"/>
          <w:sz w:val="20"/>
        </w:rPr>
        <w:t>• PHẦN 4. CÁC LUỒNG NGHIỆP VỤ CHÍNH CẦN SỐ HÓA</w:t>
      </w:r>
      <w:r>
        <w:rPr>
          <w:color w:val="64748B"/>
          <w:sz w:val="19"/>
        </w:rPr>
        <w:t>: 8 luồng quy trình cốt lõi xuyên suốt vòng đời nghiên cứu khoa học</w:t>
      </w:r>
    </w:p>
    <w:p>
      <w:pPr>
        <w:spacing w:before="20" w:after="40"/>
      </w:pPr>
      <w:r>
        <w:rPr>
          <w:b/>
          <w:color w:val="111B35"/>
          <w:sz w:val="20"/>
        </w:rPr>
        <w:t>• PHẦN 5. LUỒNG TRỌNG TÂM: ĐỀ TÀI KHCN CẤP HỌC VIỆN</w:t>
      </w:r>
      <w:r>
        <w:rPr>
          <w:color w:val="64748B"/>
          <w:sz w:val="19"/>
        </w:rPr>
        <w:t>: 6 chặng, 18 trạng thái người dùng, 16 bước chi tiết &amp; thiết kế tiến độ</w:t>
      </w:r>
    </w:p>
    <w:p>
      <w:pPr>
        <w:spacing w:before="20" w:after="40"/>
      </w:pPr>
      <w:r>
        <w:rPr>
          <w:b/>
          <w:color w:val="111B35"/>
          <w:sz w:val="20"/>
        </w:rPr>
        <w:t>• PHẦN 6. DANH MỤC VÀ KIẾN TRÚC 46 MÀN HÌNH ĐỀ XUẤT</w:t>
      </w:r>
      <w:r>
        <w:rPr>
          <w:color w:val="64748B"/>
          <w:sz w:val="19"/>
        </w:rPr>
        <w:t>: Đặc tả vai trò, dữ liệu hiển thị, thao tác và điểm kiểm soát</w:t>
      </w:r>
    </w:p>
    <w:p>
      <w:pPr>
        <w:spacing w:before="20" w:after="40"/>
      </w:pPr>
      <w:r>
        <w:rPr>
          <w:b/>
          <w:color w:val="111B35"/>
          <w:sz w:val="20"/>
        </w:rPr>
        <w:t>• PHẦN 7. ĐỀ XUẤT THỨ TỰ VÀ LỘ TRÌNH TRIỂN KHAI</w:t>
      </w:r>
      <w:r>
        <w:rPr>
          <w:color w:val="64748B"/>
          <w:sz w:val="19"/>
        </w:rPr>
        <w:t>: Phân kỳ 3 đợt: Đợt 1 (Đề tài Học viện), Đợt 2 (Kết quả &amp; Kinh phí), Đợt 3 (Hội đồng chuyên biệt)</w:t>
      </w:r>
    </w:p>
    <w:p>
      <w:pPr>
        <w:spacing w:before="20" w:after="40"/>
      </w:pPr>
      <w:r>
        <w:rPr>
          <w:b/>
          <w:color w:val="111B35"/>
          <w:sz w:val="20"/>
        </w:rPr>
        <w:t>• PHẦN 8. BẢNG 38 NỘI DUNG CẦN HỌC VIỆN XÁC NHẬN</w:t>
      </w:r>
      <w:r>
        <w:rPr>
          <w:color w:val="64748B"/>
          <w:sz w:val="19"/>
        </w:rPr>
        <w:t>: Checklist các câu hỏi nghiệp vụ, tài liệu mẫu và căn cứ pháp lý</w:t>
      </w:r>
    </w:p>
    <w:p>
      <w:pPr>
        <w:spacing w:before="20" w:after="40"/>
      </w:pPr>
      <w:r>
        <w:rPr>
          <w:b/>
          <w:color w:val="111B35"/>
          <w:sz w:val="20"/>
        </w:rPr>
        <w:t>• PHẦN 9. ĐỐI SOÁT CẢI TIẾN TỪ BẢN V1 SANG V2</w:t>
      </w:r>
      <w:r>
        <w:rPr>
          <w:color w:val="64748B"/>
          <w:sz w:val="19"/>
        </w:rPr>
        <w:t>: Khắc phục 14 điểm hạn chế của bản gợi ý sơ bộ trước đó</w:t>
      </w:r>
    </w:p>
    <w:p>
      <w:pPr>
        <w:spacing w:before="20" w:after="40"/>
      </w:pPr>
      <w:r>
        <w:rPr>
          <w:b/>
          <w:color w:val="111B35"/>
          <w:sz w:val="20"/>
        </w:rPr>
        <w:t>• PHẦN 10. ĐỀ XUẤT BƯỚC TIẾP THEO VÀ KẾ HOẠCH LÀM VIỆC</w:t>
      </w:r>
      <w:r>
        <w:rPr>
          <w:color w:val="64748B"/>
          <w:sz w:val="19"/>
        </w:rPr>
        <w:t>: Kịch bản làm việc với hồ sơ thực tế và điều kiện khởi động chính thức</w:t>
      </w:r>
    </w:p>
    <w:p>
      <w:pPr>
        <w:spacing w:after="160"/>
      </w:pPr>
    </w:p>
    <w:p>
      <w:pPr>
        <w:keepNext/>
        <w:spacing w:before="320" w:after="120"/>
      </w:pPr>
      <w:r>
        <w:rPr>
          <w:rFonts w:ascii="Arial" w:hAnsi="Arial"/>
          <w:b/>
          <w:color w:val="111B35"/>
          <w:sz w:val="28"/>
        </w:rPr>
        <w:t>TÓM TẮT ĐIỀU HÀNH</w:t>
      </w:r>
    </w:p>
    <w:p>
      <w:pPr>
        <w:spacing w:before="0" w:after="80" w:line="300" w:lineRule="auto"/>
      </w:pPr>
      <w:r>
        <w:rPr>
          <w:rFonts w:ascii="Arial" w:hAnsi="Arial"/>
          <w:b/>
          <w:color w:val="1E293B"/>
          <w:sz w:val="21"/>
        </w:rPr>
        <w:t xml:space="preserve">Kính gửi Quý Thầy Cô và Lãnh đạo Học viện: </w:t>
      </w:r>
      <w:r>
        <w:rPr>
          <w:rFonts w:ascii="Arial" w:hAnsi="Arial"/>
          <w:color w:val="1E293B"/>
          <w:sz w:val="21"/>
        </w:rPr>
        <w:t xml:space="preserve">Tài liệu này được biên soạn nhằm phục vụ các Thầy cô trong Ban Giám đốc, lãnh đạo các Khoa, Bộ môn, chuyên viên Phòng Khoa học &amp; Công nghệ và đội ngũ giảng viên, nhà khoa học của Học viện Y – Dược học cổ truyền Việt Nam. Nội dung tập trung giải quyết bài toán cốt lõi: chuyển đổi phương thức quản lý nghiên cứu khoa học từ việc lưu trữ rời rạc bằng tập tin Word/Excel và trao đổi qua email/điện thoại sang một </w:t>
      </w:r>
    </w:p>
    <w:p>
      <w:pPr>
        <w:spacing w:before="0" w:after="80" w:line="300" w:lineRule="auto"/>
      </w:pPr>
      <w:r>
        <w:rPr>
          <w:rFonts w:ascii="Arial" w:hAnsi="Arial"/>
          <w:color w:val="1E293B"/>
          <w:sz w:val="21"/>
        </w:rPr>
        <w:t>không gian làm việc trực tuyến thống nhất. Tại đây, mỗi nhiệm vụ KHCN có người chịu trách nhiệm rõ ràng, lịch trình cụ thể, tài liệu lưu trữ theo phiên bản và tiến độ được kiểm chứng khách quan.</w:t>
      </w:r>
    </w:p>
    <w:p>
      <w:pPr>
        <w:spacing w:before="0" w:after="80" w:line="300" w:lineRule="auto"/>
      </w:pPr>
      <w:r>
        <w:rPr>
          <w:rFonts w:ascii="Arial" w:hAnsi="Arial"/>
          <w:b/>
          <w:color w:val="1E293B"/>
          <w:sz w:val="21"/>
        </w:rPr>
        <w:t xml:space="preserve">Ba nguyên tắc thiết kế xuyên suốt: </w:t>
      </w:r>
      <w:r>
        <w:rPr>
          <w:rFonts w:ascii="Arial" w:hAnsi="Arial"/>
          <w:color w:val="1E293B"/>
          <w:sz w:val="21"/>
        </w:rPr>
        <w:t>1. Lấy Thầy Cô làm trung tâm: Ngôn ngữ trong hệ thống hoàn toàn là ngôn ngữ công việc quen thuộc (nộp hồ sơ, yêu cầu bổ sung, kiểm tra tiến độ, nhận xét hội đồng, đối soát kinh phí), không dùng các thuật ngữ kỹ thuật tin học gây khó hiểu.</w:t>
      </w:r>
    </w:p>
    <w:p>
      <w:pPr>
        <w:spacing w:before="0" w:after="80" w:line="300" w:lineRule="auto"/>
      </w:pPr>
      <w:r>
        <w:rPr>
          <w:rFonts w:ascii="Arial" w:hAnsi="Arial"/>
          <w:color w:val="1E293B"/>
          <w:sz w:val="21"/>
        </w:rPr>
        <w:t>2. Minh bạch và khách quan: Phân biệt rõ giữa tỷ lệ công việc 'giảng viên tự kê khai' và tỷ lệ 'Phòng KHCN đã xác nhận có minh chứng', tránh tình trạng ảo tưởng về mức độ hoàn thành nhiệm vụ.</w:t>
      </w:r>
    </w:p>
    <w:p>
      <w:pPr>
        <w:spacing w:before="0" w:after="80" w:line="300" w:lineRule="auto"/>
      </w:pPr>
      <w:r>
        <w:rPr>
          <w:rFonts w:ascii="Arial" w:hAnsi="Arial"/>
          <w:color w:val="1E293B"/>
          <w:sz w:val="21"/>
        </w:rPr>
        <w:t>3. Triển khai theo giai đoạn (Phased Rollout): Đảm bảo hệ thống sử dụng được ngay trong Đợt 1 cho các đề tài cấp Học viện mà không cần chờ đợi số hóa toàn bộ mọi quy trình phức tạp khác.</w:t>
      </w:r>
    </w:p>
    <w:p>
      <w:pPr>
        <w:keepNext/>
        <w:spacing w:before="320" w:after="120"/>
      </w:pPr>
      <w:r>
        <w:rPr>
          <w:rFonts w:ascii="Arial" w:hAnsi="Arial"/>
          <w:b/>
          <w:color w:val="111B35"/>
          <w:sz w:val="28"/>
        </w:rPr>
        <w:t>PHẦN 1. VÌ SAO HỌC VIỆN CẦN CÓ HỆ THỐNG NÀY?</w:t>
      </w:r>
    </w:p>
    <w:p>
      <w:pPr>
        <w:spacing w:before="0" w:after="80" w:line="300" w:lineRule="auto"/>
      </w:pPr>
      <w:r>
        <w:rPr>
          <w:rFonts w:ascii="Arial" w:hAnsi="Arial"/>
          <w:color w:val="1E293B"/>
          <w:sz w:val="21"/>
        </w:rPr>
        <w:t>Hoạt động khoa học, công nghệ của Học viện trải rộng từ việc xây dựng kế hoạch nghiên cứu, đăng ký đề tài, tổ chức hội đồng xét duyệt, cấp kinh phí, theo dõi kết quả nghiên cứu, nghiệm thu, công bố khoa học đến đăng ký sở hữu trí tuệ và báo cáo cho cơ quan quản lý (Bộ Y tế, Bộ Giáo dục &amp; Đào tạo, Bộ KH&amp;CN). Một đề tài thường đi qua nhiều người, nhiều đơn vị và nhiều bộ hồ sơ.</w:t>
      </w:r>
    </w:p>
    <w:p>
      <w:pPr>
        <w:spacing w:before="0" w:after="80" w:line="300" w:lineRule="auto"/>
      </w:pPr>
      <w:r>
        <w:rPr>
          <w:rFonts w:ascii="Arial" w:hAnsi="Arial"/>
          <w:color w:val="1E293B"/>
          <w:sz w:val="21"/>
        </w:rPr>
        <w:t>Nếu chỉ lưu tập tin Word, Excel và gửi qua email, người quản lý phải tự ghép thông tin thủ công mới biết công việc đang ở đâu; giảng viên phải liên hệ nhiều lần để hỏi tình trạng xử lý; lãnh đạo khó nắm tiến độ và kết quả toàn Học viện tại cùng một thời điểm.</w:t>
      </w:r>
    </w:p>
    <w:p>
      <w:pPr>
        <w:spacing w:before="0" w:after="80" w:line="300" w:lineRule="auto"/>
      </w:pPr>
      <w:r>
        <w:rPr>
          <w:rFonts w:ascii="Arial" w:hAnsi="Arial"/>
          <w:b/>
          <w:color w:val="1E293B"/>
          <w:sz w:val="21"/>
        </w:rPr>
        <w:t xml:space="preserve">Định hướng đề xuất: </w:t>
      </w:r>
      <w:r>
        <w:rPr>
          <w:rFonts w:ascii="Arial" w:hAnsi="Arial"/>
          <w:color w:val="1E293B"/>
          <w:sz w:val="21"/>
        </w:rPr>
        <w:t>Xây dựng một không gian làm việc trực tuyến thống nhất, trong đó mỗi hồ sơ có người phụ trách, thời hạn, tài liệu đi kèm, lịch sử xử lý và kết quả đầu ra. Hệ thống không chỉ 'nhập và lưu', mà giúp các đơn vị phối hợp công việc theo một quy trình có thể theo dõi, nhắc nhở và kiểm tra.</w:t>
      </w:r>
    </w:p>
    <w:p>
      <w:pPr>
        <w:spacing w:before="0" w:after="80" w:line="300" w:lineRule="auto"/>
      </w:pPr>
      <w:r>
        <w:rPr>
          <w:rFonts w:ascii="Arial" w:hAnsi="Arial"/>
          <w:b/>
          <w:color w:val="1E293B"/>
          <w:sz w:val="21"/>
        </w:rPr>
        <w:t xml:space="preserve">Quy mô định hướng: </w:t>
      </w:r>
      <w:r>
        <w:rPr>
          <w:rFonts w:ascii="Arial" w:hAnsi="Arial"/>
          <w:color w:val="1E293B"/>
          <w:sz w:val="21"/>
        </w:rPr>
        <w:t>Khoảng 500 hồ sơ cán bộ, giảng viên/nhà khoa học và 50 đề tài nghiên cứu mỗi năm, trong đó khoảng 40 đề tài giảng viên và 10 đề tài sinh viên theo thông tin phía Học viện đã cung cấp. Đối tượng sử dụng chính là cán bộ, giảng viên; nghiên cứu sinh, học viên và sinh viên được hỗ trợ theo quy trình riêng khi có nhiệm vụ phù hợp.</w:t>
      </w:r>
    </w:p>
    <w:p>
      <w:pPr>
        <w:spacing w:before="0" w:after="80" w:line="300" w:lineRule="auto"/>
      </w:pPr>
      <w:r>
        <w:rPr>
          <w:rFonts w:ascii="Arial" w:hAnsi="Arial"/>
          <w:b/>
          <w:color w:val="1E293B"/>
          <w:sz w:val="21"/>
        </w:rPr>
        <w:t xml:space="preserve">Phạm vi công việc: </w:t>
      </w:r>
      <w:r>
        <w:rPr>
          <w:rFonts w:ascii="Arial" w:hAnsi="Arial"/>
          <w:color w:val="1E293B"/>
          <w:sz w:val="21"/>
        </w:rPr>
        <w:t>Số hóa toàn bộ các hoạt động đang thuộc trách nhiệm quản lý của Phòng KHCN theo danh mục Học viện đề xuất, không giới hạn ở đề tài cấp Học viện. Thứ tự ưu tiên triển khai được đề xuất để phần mềm có thể đưa vào sử dụng thực tế từng bước, không phải loại bỏ các chức năng chưa làm ngay.</w:t>
      </w:r>
    </w:p>
    <w:p>
      <w:pPr>
        <w:keepNext/>
        <w:spacing w:before="240" w:after="80"/>
      </w:pPr>
      <w:r>
        <w:rPr>
          <w:rFonts w:ascii="Arial" w:hAnsi="Arial"/>
          <w:b/>
          <w:color w:val="4336A4"/>
          <w:sz w:val="24"/>
        </w:rPr>
        <w:t>Bảng so sánh phương thức quản lý truyền thống và Hệ thống KHCN V2</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3118"/>
        <w:gridCol w:w="3118"/>
        <w:gridCol w:w="3118"/>
      </w:tblGrid>
      <w:tr>
        <w:trPr>
          <w:tblHeader/>
          <w:cantSplit/>
        </w:trPr>
        <w:tc>
          <w:tcPr>
            <w:tcW w:type="dxa" w:w="1814"/>
            <w:shd w:fill="111B35"/>
            <w:tcMar>
              <w:top w:w="140" w:type="dxa"/>
              <w:bottom w:w="140" w:type="dxa"/>
              <w:left w:w="140" w:type="dxa"/>
              <w:right w:w="140" w:type="dxa"/>
            </w:tcMar>
          </w:tcPr>
          <w:p>
            <w:pPr>
              <w:spacing w:before="0" w:after="0"/>
            </w:pPr>
            <w:r>
              <w:rPr>
                <w:rFonts w:ascii="Arial" w:hAnsi="Arial"/>
                <w:b/>
                <w:color w:val="FFFFFF"/>
                <w:sz w:val="18"/>
              </w:rPr>
              <w:t>Tiêu chí so sánh</w:t>
            </w:r>
          </w:p>
        </w:tc>
        <w:tc>
          <w:tcPr>
            <w:tcW w:type="dxa" w:w="3685"/>
            <w:shd w:fill="111B35"/>
            <w:tcMar>
              <w:top w:w="140" w:type="dxa"/>
              <w:bottom w:w="140" w:type="dxa"/>
              <w:left w:w="140" w:type="dxa"/>
              <w:right w:w="140" w:type="dxa"/>
            </w:tcMar>
          </w:tcPr>
          <w:p>
            <w:pPr>
              <w:spacing w:before="0" w:after="0"/>
            </w:pPr>
            <w:r>
              <w:rPr>
                <w:rFonts w:ascii="Arial" w:hAnsi="Arial"/>
                <w:b/>
                <w:color w:val="FFFFFF"/>
                <w:sz w:val="18"/>
              </w:rPr>
              <w:t>Phương thức truyền thống (Word/Excel/Email)</w:t>
            </w:r>
          </w:p>
        </w:tc>
        <w:tc>
          <w:tcPr>
            <w:tcW w:type="dxa" w:w="3855"/>
            <w:shd w:fill="111B35"/>
            <w:tcMar>
              <w:top w:w="140" w:type="dxa"/>
              <w:bottom w:w="140" w:type="dxa"/>
              <w:left w:w="140" w:type="dxa"/>
              <w:right w:w="140" w:type="dxa"/>
            </w:tcMar>
          </w:tcPr>
          <w:p>
            <w:pPr>
              <w:spacing w:before="0" w:after="0"/>
            </w:pPr>
            <w:r>
              <w:rPr>
                <w:rFonts w:ascii="Arial" w:hAnsi="Arial"/>
                <w:b/>
                <w:color w:val="FFFFFF"/>
                <w:sz w:val="18"/>
              </w:rPr>
              <w:t>Hệ thống Quản lý KHCN V2</w:t>
            </w:r>
          </w:p>
        </w:tc>
      </w:tr>
      <w:tr>
        <w:trPr>
          <w:cantSplit/>
        </w:trPr>
        <w:tc>
          <w:tcPr>
            <w:tcW w:type="dxa" w:w="1814"/>
            <w:tcMar>
              <w:top w:w="100" w:type="dxa"/>
              <w:bottom w:w="100" w:type="dxa"/>
              <w:left w:w="140" w:type="dxa"/>
              <w:right w:w="140" w:type="dxa"/>
            </w:tcMar>
          </w:tcPr>
          <w:p>
            <w:pPr>
              <w:spacing w:before="0" w:after="0" w:line="276" w:lineRule="auto"/>
            </w:pPr>
            <w:r>
              <w:rPr>
                <w:rFonts w:ascii="Arial" w:hAnsi="Arial"/>
                <w:color w:val="1E293B"/>
                <w:sz w:val="17"/>
              </w:rPr>
              <w:t>Quản lý hồ sơ đề tài</w:t>
            </w:r>
          </w:p>
        </w:tc>
        <w:tc>
          <w:tcPr>
            <w:tcW w:type="dxa" w:w="3685"/>
            <w:tcMar>
              <w:top w:w="100" w:type="dxa"/>
              <w:bottom w:w="100" w:type="dxa"/>
              <w:left w:w="140" w:type="dxa"/>
              <w:right w:w="140" w:type="dxa"/>
            </w:tcMar>
          </w:tcPr>
          <w:p>
            <w:pPr>
              <w:spacing w:before="0" w:after="0" w:line="276" w:lineRule="auto"/>
            </w:pPr>
            <w:r>
              <w:rPr>
                <w:rFonts w:ascii="Arial" w:hAnsi="Arial"/>
                <w:color w:val="1E293B"/>
                <w:sz w:val="17"/>
              </w:rPr>
              <w:t>Phân tán trong hòm thư cá nhân, ổ đĩa riêng, dễ thất lạc tệp đính kèm khi thay đổi nhân sự</w:t>
            </w:r>
          </w:p>
        </w:tc>
        <w:tc>
          <w:tcPr>
            <w:tcW w:type="dxa" w:w="3855"/>
            <w:tcMar>
              <w:top w:w="100" w:type="dxa"/>
              <w:bottom w:w="100" w:type="dxa"/>
              <w:left w:w="140" w:type="dxa"/>
              <w:right w:w="140" w:type="dxa"/>
            </w:tcMar>
          </w:tcPr>
          <w:p>
            <w:pPr>
              <w:spacing w:before="0" w:after="0" w:line="276" w:lineRule="auto"/>
            </w:pPr>
            <w:r>
              <w:rPr>
                <w:rFonts w:ascii="Arial" w:hAnsi="Arial"/>
                <w:color w:val="1E293B"/>
                <w:sz w:val="17"/>
              </w:rPr>
              <w:t>Lưu trữ tập trung, liên kết mã đề tài, quản lý phiên bản (versioning), lịch sử sửa đổi rõ ràng</w:t>
            </w:r>
          </w:p>
        </w:tc>
      </w:tr>
      <w:tr>
        <w:trPr>
          <w:cantSplit/>
        </w:trPr>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Theo dõi tiến độ nghiên cứu</w:t>
            </w:r>
          </w:p>
        </w:tc>
        <w:tc>
          <w:tcPr>
            <w:tcW w:type="dxa" w:w="3685"/>
            <w:shd w:fill="F8FAFC"/>
            <w:tcMar>
              <w:top w:w="100" w:type="dxa"/>
              <w:bottom w:w="100" w:type="dxa"/>
              <w:left w:w="140" w:type="dxa"/>
              <w:right w:w="140" w:type="dxa"/>
            </w:tcMar>
          </w:tcPr>
          <w:p>
            <w:pPr>
              <w:spacing w:before="0" w:after="0" w:line="276" w:lineRule="auto"/>
            </w:pPr>
            <w:r>
              <w:rPr>
                <w:rFonts w:ascii="Arial" w:hAnsi="Arial"/>
                <w:color w:val="1E293B"/>
                <w:sz w:val="17"/>
              </w:rPr>
              <w:t>Chủ yếu dựa vào báo cáo định kỳ 6 tháng/1 năm, khó phát hiện sớm các nguy cơ chậm trễ</w:t>
            </w:r>
          </w:p>
        </w:tc>
        <w:tc>
          <w:tcPr>
            <w:tcW w:type="dxa" w:w="3855"/>
            <w:shd w:fill="F8FAFC"/>
            <w:tcMar>
              <w:top w:w="100" w:type="dxa"/>
              <w:bottom w:w="100" w:type="dxa"/>
              <w:left w:w="140" w:type="dxa"/>
              <w:right w:w="140" w:type="dxa"/>
            </w:tcMar>
          </w:tcPr>
          <w:p>
            <w:pPr>
              <w:spacing w:before="0" w:after="0" w:line="276" w:lineRule="auto"/>
            </w:pPr>
            <w:r>
              <w:rPr>
                <w:rFonts w:ascii="Arial" w:hAnsi="Arial"/>
                <w:color w:val="1E293B"/>
                <w:sz w:val="17"/>
              </w:rPr>
              <w:t>Trục thời gian trực quan (Gantt), cảnh báo mốc hạn, tách bạch tiến độ tự khai và tiến độ xác nhận</w:t>
            </w:r>
          </w:p>
        </w:tc>
      </w:tr>
      <w:tr>
        <w:trPr>
          <w:cantSplit/>
        </w:trPr>
        <w:tc>
          <w:tcPr>
            <w:tcW w:type="dxa" w:w="1814"/>
            <w:tcMar>
              <w:top w:w="100" w:type="dxa"/>
              <w:bottom w:w="100" w:type="dxa"/>
              <w:left w:w="140" w:type="dxa"/>
              <w:right w:w="140" w:type="dxa"/>
            </w:tcMar>
          </w:tcPr>
          <w:p>
            <w:pPr>
              <w:spacing w:before="0" w:after="0" w:line="276" w:lineRule="auto"/>
            </w:pPr>
            <w:r>
              <w:rPr>
                <w:rFonts w:ascii="Arial" w:hAnsi="Arial"/>
                <w:color w:val="1E293B"/>
                <w:sz w:val="17"/>
              </w:rPr>
              <w:t>Tra cứu tình trạng hồ sơ</w:t>
            </w:r>
          </w:p>
        </w:tc>
        <w:tc>
          <w:tcPr>
            <w:tcW w:type="dxa" w:w="3685"/>
            <w:tcMar>
              <w:top w:w="100" w:type="dxa"/>
              <w:bottom w:w="100" w:type="dxa"/>
              <w:left w:w="140" w:type="dxa"/>
              <w:right w:w="140" w:type="dxa"/>
            </w:tcMar>
          </w:tcPr>
          <w:p>
            <w:pPr>
              <w:spacing w:before="0" w:after="0" w:line="276" w:lineRule="auto"/>
            </w:pPr>
            <w:r>
              <w:rPr>
                <w:rFonts w:ascii="Arial" w:hAnsi="Arial"/>
                <w:color w:val="1E293B"/>
                <w:sz w:val="17"/>
              </w:rPr>
              <w:t>Giảng viên phải gọi điện hoặc đến trực tiếp Phòng KHCN để hỏi tiến độ thẩm định</w:t>
            </w:r>
          </w:p>
        </w:tc>
        <w:tc>
          <w:tcPr>
            <w:tcW w:type="dxa" w:w="3855"/>
            <w:tcMar>
              <w:top w:w="100" w:type="dxa"/>
              <w:bottom w:w="100" w:type="dxa"/>
              <w:left w:w="140" w:type="dxa"/>
              <w:right w:w="140" w:type="dxa"/>
            </w:tcMar>
          </w:tcPr>
          <w:p>
            <w:pPr>
              <w:spacing w:before="0" w:after="0" w:line="276" w:lineRule="auto"/>
            </w:pPr>
            <w:r>
              <w:rPr>
                <w:rFonts w:ascii="Arial" w:hAnsi="Arial"/>
                <w:color w:val="1E293B"/>
                <w:sz w:val="17"/>
              </w:rPr>
              <w:t>Giảng viên chủ động theo dõi trạng thái hồ sơ trực tuyến theo thời gian thực (đang ở bước nào, ai giữ)</w:t>
            </w:r>
          </w:p>
        </w:tc>
      </w:tr>
      <w:tr>
        <w:trPr>
          <w:cantSplit/>
        </w:trPr>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Tổ chức hội đồng xét duyệt</w:t>
            </w:r>
          </w:p>
        </w:tc>
        <w:tc>
          <w:tcPr>
            <w:tcW w:type="dxa" w:w="3685"/>
            <w:shd w:fill="F8FAFC"/>
            <w:tcMar>
              <w:top w:w="100" w:type="dxa"/>
              <w:bottom w:w="100" w:type="dxa"/>
              <w:left w:w="140" w:type="dxa"/>
              <w:right w:w="140" w:type="dxa"/>
            </w:tcMar>
          </w:tcPr>
          <w:p>
            <w:pPr>
              <w:spacing w:before="0" w:after="0" w:line="276" w:lineRule="auto"/>
            </w:pPr>
            <w:r>
              <w:rPr>
                <w:rFonts w:ascii="Arial" w:hAnsi="Arial"/>
                <w:color w:val="1E293B"/>
                <w:sz w:val="17"/>
              </w:rPr>
              <w:t>In ấn giấy tờ số lượng lớn, tổng hợp phiếu điểm và biên bản họp hoàn toàn thủ công</w:t>
            </w:r>
          </w:p>
        </w:tc>
        <w:tc>
          <w:tcPr>
            <w:tcW w:type="dxa" w:w="3855"/>
            <w:shd w:fill="F8FAFC"/>
            <w:tcMar>
              <w:top w:w="100" w:type="dxa"/>
              <w:bottom w:w="100" w:type="dxa"/>
              <w:left w:w="140" w:type="dxa"/>
              <w:right w:w="140" w:type="dxa"/>
            </w:tcMar>
          </w:tcPr>
          <w:p>
            <w:pPr>
              <w:spacing w:before="0" w:after="0" w:line="276" w:lineRule="auto"/>
            </w:pPr>
            <w:r>
              <w:rPr>
                <w:rFonts w:ascii="Arial" w:hAnsi="Arial"/>
                <w:color w:val="1E293B"/>
                <w:sz w:val="17"/>
              </w:rPr>
              <w:t>Hội đồng đọc tài liệu trực tuyến, kê khai xung đột lợi ích (COI), chấm điểm và lập biên bản số hóa</w:t>
            </w:r>
          </w:p>
        </w:tc>
      </w:tr>
      <w:tr>
        <w:trPr>
          <w:cantSplit/>
        </w:trPr>
        <w:tc>
          <w:tcPr>
            <w:tcW w:type="dxa" w:w="1814"/>
            <w:tcMar>
              <w:top w:w="100" w:type="dxa"/>
              <w:bottom w:w="100" w:type="dxa"/>
              <w:left w:w="140" w:type="dxa"/>
              <w:right w:w="140" w:type="dxa"/>
            </w:tcMar>
          </w:tcPr>
          <w:p>
            <w:pPr>
              <w:spacing w:before="0" w:after="0" w:line="276" w:lineRule="auto"/>
            </w:pPr>
            <w:r>
              <w:rPr>
                <w:rFonts w:ascii="Arial" w:hAnsi="Arial"/>
                <w:color w:val="1E293B"/>
                <w:sz w:val="17"/>
              </w:rPr>
              <w:t>Thống kê &amp; Báo cáo Lãnh đạo</w:t>
            </w:r>
          </w:p>
        </w:tc>
        <w:tc>
          <w:tcPr>
            <w:tcW w:type="dxa" w:w="3685"/>
            <w:tcMar>
              <w:top w:w="100" w:type="dxa"/>
              <w:bottom w:w="100" w:type="dxa"/>
              <w:left w:w="140" w:type="dxa"/>
              <w:right w:w="140" w:type="dxa"/>
            </w:tcMar>
          </w:tcPr>
          <w:p>
            <w:pPr>
              <w:spacing w:before="0" w:after="0" w:line="276" w:lineRule="auto"/>
            </w:pPr>
            <w:r>
              <w:rPr>
                <w:rFonts w:ascii="Arial" w:hAnsi="Arial"/>
                <w:color w:val="1E293B"/>
                <w:sz w:val="17"/>
              </w:rPr>
              <w:t>Mất nhiều ngày tổng hợp số liệu từ các file Excel rời rạc, nguy cơ đếm trùng công bố</w:t>
            </w:r>
          </w:p>
        </w:tc>
        <w:tc>
          <w:tcPr>
            <w:tcW w:type="dxa" w:w="3855"/>
            <w:tcMar>
              <w:top w:w="100" w:type="dxa"/>
              <w:bottom w:w="100" w:type="dxa"/>
              <w:left w:w="140" w:type="dxa"/>
              <w:right w:w="140" w:type="dxa"/>
            </w:tcMar>
          </w:tcPr>
          <w:p>
            <w:pPr>
              <w:spacing w:before="0" w:after="0" w:line="276" w:lineRule="auto"/>
            </w:pPr>
            <w:r>
              <w:rPr>
                <w:rFonts w:ascii="Arial" w:hAnsi="Arial"/>
                <w:color w:val="1E293B"/>
                <w:sz w:val="17"/>
              </w:rPr>
              <w:t>Bảng điều khiển (Executive Dashboard) cập nhật tức thì, truy xuất trực tiếp từ biểu đồ về hồ sơ gốc</w:t>
            </w:r>
          </w:p>
        </w:tc>
      </w:tr>
      <w:tr>
        <w:trPr>
          <w:cantSplit/>
        </w:trPr>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Lý lịch khoa học cán bộ</w:t>
            </w:r>
          </w:p>
        </w:tc>
        <w:tc>
          <w:tcPr>
            <w:tcW w:type="dxa" w:w="3685"/>
            <w:shd w:fill="F8FAFC"/>
            <w:tcMar>
              <w:top w:w="100" w:type="dxa"/>
              <w:bottom w:w="100" w:type="dxa"/>
              <w:left w:w="140" w:type="dxa"/>
              <w:right w:w="140" w:type="dxa"/>
            </w:tcMar>
          </w:tcPr>
          <w:p>
            <w:pPr>
              <w:spacing w:before="0" w:after="0" w:line="276" w:lineRule="auto"/>
            </w:pPr>
            <w:r>
              <w:rPr>
                <w:rFonts w:ascii="Arial" w:hAnsi="Arial"/>
                <w:color w:val="1E293B"/>
                <w:sz w:val="17"/>
              </w:rPr>
              <w:t>Kê khai lặp đi lặp lại nhiều lần mỗi khi có đợt xét duyệt hoặc làm báo cáo kiểm định</w:t>
            </w:r>
          </w:p>
        </w:tc>
        <w:tc>
          <w:tcPr>
            <w:tcW w:type="dxa" w:w="3855"/>
            <w:shd w:fill="F8FAFC"/>
            <w:tcMar>
              <w:top w:w="100" w:type="dxa"/>
              <w:bottom w:w="100" w:type="dxa"/>
              <w:left w:w="140" w:type="dxa"/>
              <w:right w:w="140" w:type="dxa"/>
            </w:tcMar>
          </w:tcPr>
          <w:p>
            <w:pPr>
              <w:spacing w:before="0" w:after="0" w:line="276" w:lineRule="auto"/>
            </w:pPr>
            <w:r>
              <w:rPr>
                <w:rFonts w:ascii="Arial" w:hAnsi="Arial"/>
                <w:color w:val="1E293B"/>
                <w:sz w:val="17"/>
              </w:rPr>
              <w:t>Tích hợp tự động các đề tài, bài báo, sáng chế đã xác nhận vào lý lịch khoa học cá nhân của ~500 giảng viên</w:t>
            </w:r>
          </w:p>
        </w:tc>
      </w:tr>
    </w:tbl>
    <w:p>
      <w:pPr>
        <w:spacing w:before="0" w:after="80"/>
      </w:pPr>
    </w:p>
    <w:p>
      <w:pPr>
        <w:keepNext/>
        <w:spacing w:before="320" w:after="120"/>
      </w:pPr>
      <w:r>
        <w:rPr>
          <w:rFonts w:ascii="Arial" w:hAnsi="Arial"/>
          <w:b/>
          <w:color w:val="111B35"/>
          <w:sz w:val="28"/>
        </w:rPr>
        <w:t>PHẦN 2. LỢI ÍCH KHI SỬ DỤNG HỆ THỐNG</w:t>
      </w:r>
    </w:p>
    <w:p>
      <w:pPr>
        <w:keepNext/>
        <w:spacing w:before="240" w:after="80"/>
      </w:pPr>
      <w:r>
        <w:rPr>
          <w:rFonts w:ascii="Arial" w:hAnsi="Arial"/>
          <w:b/>
          <w:color w:val="4336A4"/>
          <w:sz w:val="24"/>
        </w:rPr>
        <w:t>2.1. Với Ban Giám đốc và Lãnh đạo đơn vị</w:t>
      </w:r>
    </w:p>
    <w:p>
      <w:pPr>
        <w:pStyle w:val="ListBullet"/>
        <w:spacing w:before="0" w:after="60" w:line="288" w:lineRule="auto"/>
      </w:pPr>
      <w:r>
        <w:rPr>
          <w:rFonts w:ascii="Arial" w:hAnsi="Arial"/>
          <w:color w:val="1E293B"/>
          <w:sz w:val="20"/>
        </w:rPr>
        <w:t>Biết tình hình nghiên cứu của toàn Học viện trong một màn hình: bao nhiêu đề tài đang làm, chuẩn bị nghiệm thu, bị chậm; tình hình kinh phí, bài báo, giáo trình, sáng chế và hợp tác.</w:t>
      </w:r>
    </w:p>
    <w:p>
      <w:pPr>
        <w:pStyle w:val="ListBullet"/>
        <w:spacing w:before="0" w:after="60" w:line="288" w:lineRule="auto"/>
      </w:pPr>
      <w:r>
        <w:rPr>
          <w:rFonts w:ascii="Arial" w:hAnsi="Arial"/>
          <w:color w:val="1E293B"/>
          <w:sz w:val="20"/>
        </w:rPr>
        <w:t>Nhìn thấy nơi cần can thiệp: danh sách hồ sơ đang chờ quyết định, công việc quá hạn, đơn vị cần hỗ trợ, các chỉ tiêu chưa đạt; có thể mở vào từng hồ sơ để xem căn cứ thay vì chỉ nhìn một con số.</w:t>
      </w:r>
    </w:p>
    <w:p>
      <w:pPr>
        <w:pStyle w:val="ListBullet"/>
        <w:spacing w:before="0" w:after="60" w:line="288" w:lineRule="auto"/>
      </w:pPr>
      <w:r>
        <w:rPr>
          <w:rFonts w:ascii="Arial" w:hAnsi="Arial"/>
          <w:color w:val="1E293B"/>
          <w:sz w:val="20"/>
        </w:rPr>
        <w:t>Có số liệu thống nhất khi chỉ đạo và báo cáo: tổng hợp theo năm, khoa, bộ môn, chủ nhiệm đề tài, nguồn kinh phí và loại kết quả; có thể đối chiếu nguồn dữ liệu trước khi xuất báo cáo.</w:t>
      </w:r>
    </w:p>
    <w:p>
      <w:pPr>
        <w:pStyle w:val="ListBullet"/>
        <w:spacing w:before="0" w:after="60" w:line="288" w:lineRule="auto"/>
      </w:pPr>
      <w:r>
        <w:rPr>
          <w:rFonts w:ascii="Arial" w:hAnsi="Arial"/>
          <w:color w:val="1E293B"/>
          <w:sz w:val="20"/>
        </w:rPr>
        <w:t>Giảm phụ thuộc vào tổng hợp thủ công: dữ liệu về đề tài, thành viên, công bố và kinh phí được liên kết, hạn chế nhập lại ở nhiều bảng.</w:t>
      </w:r>
    </w:p>
    <w:p>
      <w:pPr>
        <w:keepNext/>
        <w:spacing w:before="240" w:after="80"/>
      </w:pPr>
      <w:r>
        <w:rPr>
          <w:rFonts w:ascii="Arial" w:hAnsi="Arial"/>
          <w:b/>
          <w:color w:val="4336A4"/>
          <w:sz w:val="24"/>
        </w:rPr>
        <w:t>2.2. Với Phòng KHCN — Đơn vị điều phối thường xuyên</w:t>
      </w:r>
    </w:p>
    <w:p>
      <w:pPr>
        <w:pStyle w:val="ListBullet"/>
        <w:spacing w:before="0" w:after="60" w:line="288" w:lineRule="auto"/>
      </w:pPr>
      <w:r>
        <w:rPr>
          <w:rFonts w:ascii="Arial" w:hAnsi="Arial"/>
          <w:color w:val="1E293B"/>
          <w:sz w:val="20"/>
        </w:rPr>
        <w:t>Một danh sách công việc cần xử lý mỗi ngày: đề xuất mới, hồ sơ cần bổ sung, hội đồng chuẩn bị họp, báo cáo tiến độ chờ xác nhận, đề tài sắp hết hạn, hồ sơ nghiệm thu và thanh lý.</w:t>
      </w:r>
    </w:p>
    <w:p>
      <w:pPr>
        <w:pStyle w:val="ListBullet"/>
        <w:spacing w:before="0" w:after="60" w:line="288" w:lineRule="auto"/>
      </w:pPr>
      <w:r>
        <w:rPr>
          <w:rFonts w:ascii="Arial" w:hAnsi="Arial"/>
          <w:color w:val="1E293B"/>
          <w:sz w:val="20"/>
        </w:rPr>
        <w:t>Theo dõi rõ trách nhiệm: ai đã nhận việc, đang chờ ai, từ ngày nào, lý do chậm và lịch sử đã nhắc; thuận tiện điều phối khi người xử lý thay đổi.</w:t>
      </w:r>
    </w:p>
    <w:p>
      <w:pPr>
        <w:pStyle w:val="ListBullet"/>
        <w:spacing w:before="0" w:after="60" w:line="288" w:lineRule="auto"/>
      </w:pPr>
      <w:r>
        <w:rPr>
          <w:rFonts w:ascii="Arial" w:hAnsi="Arial"/>
          <w:color w:val="1E293B"/>
          <w:sz w:val="20"/>
        </w:rPr>
        <w:t>Giảm việc nhắc bằng điện thoại: thông báo theo đợt đăng ký, trước hạn báo cáo, trước lịch họp hoặc khi hồ sơ bị trả về.</w:t>
      </w:r>
    </w:p>
    <w:p>
      <w:pPr>
        <w:pStyle w:val="ListBullet"/>
        <w:spacing w:before="0" w:after="60" w:line="288" w:lineRule="auto"/>
      </w:pPr>
      <w:r>
        <w:rPr>
          <w:rFonts w:ascii="Arial" w:hAnsi="Arial"/>
          <w:color w:val="1E293B"/>
          <w:sz w:val="20"/>
        </w:rPr>
        <w:t>Bảo đảm hồ sơ đầy đủ: kiểm tra theo danh mục tài liệu cần có trước khi chuyển bước; lưu các lần chỉnh sửa, biên bản và quyết định theo từng phiên bản.</w:t>
      </w:r>
    </w:p>
    <w:p>
      <w:pPr>
        <w:pStyle w:val="ListBullet"/>
        <w:spacing w:before="0" w:after="60" w:line="288" w:lineRule="auto"/>
      </w:pPr>
      <w:r>
        <w:rPr>
          <w:rFonts w:ascii="Arial" w:hAnsi="Arial"/>
          <w:color w:val="1E293B"/>
          <w:sz w:val="20"/>
        </w:rPr>
        <w:t>Dễ tổng hợp báo cáo thường kỳ: số liệu có thể lọc theo đơn vị, năm, cấp nhiệm vụ, nguồn kinh phí và kết quả đã được xác minh.</w:t>
      </w:r>
    </w:p>
    <w:p>
      <w:pPr>
        <w:keepNext/>
        <w:spacing w:before="240" w:after="80"/>
      </w:pPr>
      <w:r>
        <w:rPr>
          <w:rFonts w:ascii="Arial" w:hAnsi="Arial"/>
          <w:b/>
          <w:color w:val="4336A4"/>
          <w:sz w:val="24"/>
        </w:rPr>
        <w:t>2.3. Với Giảng viên, Chủ nhiệm và Thành viên nhóm nghiên cứu</w:t>
      </w:r>
    </w:p>
    <w:p>
      <w:pPr>
        <w:pStyle w:val="ListBullet"/>
        <w:spacing w:before="0" w:after="60" w:line="288" w:lineRule="auto"/>
      </w:pPr>
      <w:r>
        <w:rPr>
          <w:rFonts w:ascii="Arial" w:hAnsi="Arial"/>
          <w:color w:val="1E293B"/>
          <w:sz w:val="20"/>
        </w:rPr>
        <w:t>Làm thủ tục từ xa: khai báo đề xuất, nộp thuyết minh, đính kèm tài liệu và bổ sung hồ sơ ngay trên hệ thống.</w:t>
      </w:r>
    </w:p>
    <w:p>
      <w:pPr>
        <w:pStyle w:val="ListBullet"/>
        <w:spacing w:before="0" w:after="60" w:line="288" w:lineRule="auto"/>
      </w:pPr>
      <w:r>
        <w:rPr>
          <w:rFonts w:ascii="Arial" w:hAnsi="Arial"/>
          <w:color w:val="1E293B"/>
          <w:sz w:val="20"/>
        </w:rPr>
        <w:t>Biết hồ sơ của mình đang ở đâu: đã gửi, Phòng KHCN đang kiểm tra, cần chỉnh sửa, chờ hội đồng, đã được phê duyệt hoặc không được chấp thuận; có lý do và người xử lý rõ ràng.</w:t>
      </w:r>
    </w:p>
    <w:p>
      <w:pPr>
        <w:pStyle w:val="ListBullet"/>
        <w:spacing w:before="0" w:after="60" w:line="288" w:lineRule="auto"/>
      </w:pPr>
      <w:r>
        <w:rPr>
          <w:rFonts w:ascii="Arial" w:hAnsi="Arial"/>
          <w:color w:val="1E293B"/>
          <w:sz w:val="20"/>
        </w:rPr>
        <w:t>Chủ động thực hiện nghiên cứu: chia nhỏ kế hoạch theo giai đoạn, giao công việc cho thành viên, nộp minh chứng, nhận nhắc hạn và theo dõi việc Phòng KHCN xác nhận.</w:t>
      </w:r>
    </w:p>
    <w:p>
      <w:pPr>
        <w:pStyle w:val="ListBullet"/>
        <w:spacing w:before="0" w:after="60" w:line="288" w:lineRule="auto"/>
      </w:pPr>
      <w:r>
        <w:rPr>
          <w:rFonts w:ascii="Arial" w:hAnsi="Arial"/>
          <w:color w:val="1E293B"/>
          <w:sz w:val="20"/>
        </w:rPr>
        <w:t>Hồ sơ khoa học hình thành theo thời gian: các đề tài đã tham gia, bài báo, sách, sáng chế và thành tích đã xác minh được liên kết vào lý lịch khoa học cá nhân, tránh kê khai lặp lại.</w:t>
      </w:r>
    </w:p>
    <w:p>
      <w:pPr>
        <w:keepNext/>
        <w:spacing w:before="240" w:after="80"/>
      </w:pPr>
      <w:r>
        <w:rPr>
          <w:rFonts w:ascii="Arial" w:hAnsi="Arial"/>
          <w:b/>
          <w:color w:val="4336A4"/>
          <w:sz w:val="24"/>
        </w:rPr>
        <w:t>2.4. Với các Hội đồng, Chuyên gia và Đơn vị phối hợp</w:t>
      </w:r>
    </w:p>
    <w:p>
      <w:pPr>
        <w:pStyle w:val="ListBullet"/>
        <w:spacing w:before="0" w:after="60" w:line="288" w:lineRule="auto"/>
      </w:pPr>
      <w:r>
        <w:rPr>
          <w:rFonts w:ascii="Arial" w:hAnsi="Arial"/>
          <w:color w:val="1E293B"/>
          <w:sz w:val="20"/>
        </w:rPr>
        <w:t>Hội đồng nhận đúng hồ sơ cần xem, biết lịch họp, tài liệu tham khảo, nội dung phải nhận xét và hạn gửi ý kiến.</w:t>
      </w:r>
    </w:p>
    <w:p>
      <w:pPr>
        <w:pStyle w:val="ListBullet"/>
        <w:spacing w:before="0" w:after="60" w:line="288" w:lineRule="auto"/>
      </w:pPr>
      <w:r>
        <w:rPr>
          <w:rFonts w:ascii="Arial" w:hAnsi="Arial"/>
          <w:color w:val="1E293B"/>
          <w:sz w:val="20"/>
        </w:rPr>
        <w:t>Nhận xét, đánh giá, tổng hợp thuận tiện hơn: có biểu mẫu trực tuyến, ghi lại việc hoàn thiện, kết luận và biên bản. Người có xung đột lợi ích phải được xem xét trước khi tham gia đánh giá.</w:t>
      </w:r>
    </w:p>
    <w:p>
      <w:pPr>
        <w:pStyle w:val="ListBullet"/>
        <w:spacing w:before="0" w:after="60" w:line="288" w:lineRule="auto"/>
      </w:pPr>
      <w:r>
        <w:rPr>
          <w:rFonts w:ascii="Arial" w:hAnsi="Arial"/>
          <w:color w:val="1E293B"/>
          <w:sz w:val="20"/>
        </w:rPr>
        <w:t>Phòng Tài chính đối chiếu kinh phí theo đề tài mà không phải sử dụng phần mềm KHCN làm hệ thống kế toán mới.</w:t>
      </w:r>
    </w:p>
    <w:p>
      <w:pPr>
        <w:pStyle w:val="ListBullet"/>
        <w:spacing w:before="0" w:after="60" w:line="288" w:lineRule="auto"/>
      </w:pPr>
      <w:r>
        <w:rPr>
          <w:rFonts w:ascii="Arial" w:hAnsi="Arial"/>
          <w:color w:val="1E293B"/>
          <w:sz w:val="20"/>
        </w:rPr>
        <w:t>Khoa, bộ môn và đối tác phối hợp cập nhật các nhiệm vụ được giao hoặc các hồ sơ được cho phép, không phải xin toàn bộ dữ liệu từ Phòng KHCN.</w:t>
      </w:r>
    </w:p>
    <w:p>
      <w:pPr>
        <w:keepNext/>
        <w:spacing w:before="240" w:after="80"/>
      </w:pPr>
      <w:r>
        <w:rPr>
          <w:rFonts w:ascii="Arial" w:hAnsi="Arial"/>
          <w:b/>
          <w:color w:val="4336A4"/>
          <w:sz w:val="24"/>
        </w:rPr>
        <w:t>2.5. Giá trị dữ liệu dài hạn</w:t>
      </w:r>
    </w:p>
    <w:p>
      <w:pPr>
        <w:spacing w:before="0" w:after="80" w:line="300" w:lineRule="auto"/>
      </w:pPr>
      <w:r>
        <w:rPr>
          <w:rFonts w:ascii="Arial" w:hAnsi="Arial"/>
          <w:color w:val="1E293B"/>
          <w:sz w:val="21"/>
        </w:rPr>
        <w:t>Học viện có một kho dữ liệu khoa học thống nhất và cập nhật thường xuyên để phục vụ đánh giá năng lực nghiên cứu, kiểm định chất lượng cơ sở giáo dục, báo cáo theo biểu mẫu Bộ Y tế / Bộ GD&amp;ĐT và bảo quản kết quả nghiên cứu y dược cổ truyền. Các số liệu công bố hoặc chỉ tiêu phải có quy tắc tính và nguồn kiểm chứng; phần mềm không tự coi nội dung được kê khai là thành tích đã xác nhận.</w:t>
      </w:r>
    </w:p>
    <w:p>
      <w:pPr>
        <w:keepNext/>
        <w:spacing w:before="320" w:after="120"/>
      </w:pPr>
      <w:r>
        <w:rPr>
          <w:rFonts w:ascii="Arial" w:hAnsi="Arial"/>
          <w:b/>
          <w:color w:val="111B35"/>
          <w:sz w:val="28"/>
        </w:rPr>
        <w:t>PHẦN 3. ĐỀ XUẤT CHI TIẾT 21 NHÓM CHỨC NĂNG NGHIỆP VỤ</w:t>
      </w:r>
    </w:p>
    <w:p>
      <w:pPr>
        <w:spacing w:before="0" w:after="80" w:line="300" w:lineRule="auto"/>
      </w:pPr>
      <w:r>
        <w:rPr>
          <w:rFonts w:ascii="Arial" w:hAnsi="Arial"/>
          <w:color w:val="1E293B"/>
          <w:sz w:val="21"/>
        </w:rPr>
        <w:t>Các nhóm chức năng dưới đây được trình bày theo góc nhìn thực tế của Thầy cô và Chuyên viên khi thực hiện tác vụ hằng ngày. Mỗi nhóm đều nêu rõ mục tiêu, người sử dụng chính, thao tác thực tế và kết quả thu được.</w:t>
      </w:r>
    </w:p>
    <w:p>
      <w:pPr>
        <w:keepNext/>
        <w:spacing w:before="240" w:after="80"/>
      </w:pPr>
      <w:r>
        <w:rPr>
          <w:rFonts w:ascii="Arial" w:hAnsi="Arial"/>
          <w:b/>
          <w:color w:val="4336A4"/>
          <w:sz w:val="24"/>
        </w:rPr>
        <w:t>01. Quản lý thông tin đơn vị, lĩnh vực và danh mục KHCN</w:t>
      </w:r>
    </w:p>
    <w:p>
      <w:pPr>
        <w:spacing w:before="0" w:after="80" w:line="300" w:lineRule="auto"/>
      </w:pPr>
      <w:r>
        <w:rPr>
          <w:rFonts w:ascii="Arial" w:hAnsi="Arial"/>
          <w:color w:val="1E293B"/>
          <w:sz w:val="21"/>
        </w:rPr>
        <w:t>Khi các khoa, bộ môn hoặc phòng ban đăng ký một nhiệm vụ, hệ thống cho chọn đơn vị chủ trì và lĩnh vực nghiên cứu từ danh mục chung. Phòng KHCN quản lý thông tin cơ cấu tổ chức, lĩnh vực ưu tiên, loại đề tài, nguồn kinh phí, năm kế hoạch và tên gọi thống nhất. Ví dụ, không để cùng một khoa được nhập thành ba tên khác nhau khiến báo cáo bị chia sai. Có thể ghi nhận lịch sử sáp nhập, đổi tên đơn vị để số liệu những năm trước vẫn truy xuất được.</w:t>
      </w:r>
    </w:p>
    <w:p>
      <w:pPr>
        <w:spacing w:before="0" w:after="80" w:line="300" w:lineRule="auto"/>
      </w:pPr>
      <w:r>
        <w:rPr>
          <w:rFonts w:ascii="Arial" w:hAnsi="Arial"/>
          <w:b/>
          <w:color w:val="1E293B"/>
          <w:sz w:val="21"/>
        </w:rPr>
        <w:t xml:space="preserve">Kết quả mang lại: </w:t>
      </w:r>
      <w:r>
        <w:rPr>
          <w:rFonts w:ascii="Arial" w:hAnsi="Arial"/>
          <w:color w:val="1E293B"/>
          <w:sz w:val="21"/>
        </w:rPr>
        <w:t>Các hồ sơ và báo cáo toàn Học viện dùng chung một hệ thông tin chuẩn.</w:t>
      </w:r>
    </w:p>
    <w:p>
      <w:pPr>
        <w:keepNext/>
        <w:spacing w:before="240" w:after="80"/>
      </w:pPr>
      <w:r>
        <w:rPr>
          <w:rFonts w:ascii="Arial" w:hAnsi="Arial"/>
          <w:b/>
          <w:color w:val="4336A4"/>
          <w:sz w:val="24"/>
        </w:rPr>
        <w:t>02. Quản lý lý lịch khoa học cán bộ, giảng viên và chuyên gia (~500 hồ sơ)</w:t>
      </w:r>
    </w:p>
    <w:p>
      <w:pPr>
        <w:spacing w:before="0" w:after="80" w:line="300" w:lineRule="auto"/>
      </w:pPr>
      <w:r>
        <w:rPr>
          <w:rFonts w:ascii="Arial" w:hAnsi="Arial"/>
          <w:color w:val="1E293B"/>
          <w:sz w:val="21"/>
        </w:rPr>
        <w:t>Mỗi cán bộ, giảng viên có một trang lý lịch khoa học điện tử gồm thông tin công tác, học vị, chức danh, chuyên môn, lĩnh vực nghiên cứu, quá trình tham gia đề tài, công bố, sách, sản phẩm, giải thưởng và hoạt động hướng dẫn học thuật. Giảng viên tự cập nhật thông tin được phép; Phòng KHCN kiểm tra, xác nhận các nội dung cần dùng làm báo cáo chính thức. Các chuyên gia ngoài Học viện cũng có hồ sơ phù hợp, để mời phản biện hoặc tham gia hội đồng mà không phải nhập lại thông tin.</w:t>
      </w:r>
    </w:p>
    <w:p>
      <w:pPr>
        <w:spacing w:before="0" w:after="80" w:line="300" w:lineRule="auto"/>
      </w:pPr>
      <w:r>
        <w:rPr>
          <w:rFonts w:ascii="Arial" w:hAnsi="Arial"/>
          <w:b/>
          <w:color w:val="1E293B"/>
          <w:sz w:val="21"/>
        </w:rPr>
        <w:t xml:space="preserve">Kết quả mang lại: </w:t>
      </w:r>
      <w:r>
        <w:rPr>
          <w:rFonts w:ascii="Arial" w:hAnsi="Arial"/>
          <w:color w:val="1E293B"/>
          <w:sz w:val="21"/>
        </w:rPr>
        <w:t>Hồ sơ khoa học của khoảng 500 cán bộ/giảng viên có thể tra cứu, xuất theo mẫu chuẩn, liên kết trực tiếp với hoạt động nghiên cứu thực tế.</w:t>
      </w:r>
    </w:p>
    <w:p>
      <w:pPr>
        <w:keepNext/>
        <w:spacing w:before="240" w:after="80"/>
      </w:pPr>
      <w:r>
        <w:rPr>
          <w:rFonts w:ascii="Arial" w:hAnsi="Arial"/>
          <w:b/>
          <w:color w:val="4336A4"/>
          <w:sz w:val="24"/>
        </w:rPr>
        <w:t>03. Xây dựng và theo dõi kế hoạch KHCN của Học viện</w:t>
      </w:r>
    </w:p>
    <w:p>
      <w:pPr>
        <w:spacing w:before="0" w:after="80" w:line="300" w:lineRule="auto"/>
      </w:pPr>
      <w:r>
        <w:rPr>
          <w:rFonts w:ascii="Arial" w:hAnsi="Arial"/>
          <w:color w:val="1E293B"/>
          <w:sz w:val="21"/>
        </w:rPr>
        <w:t>Đầu mỗi kỳ lập kế hoạch, các đơn vị đăng ký nhu cầu đề tài, hướng nghiên cứu, dự kiến kinh phí và sản phẩm. Phòng KHCN tổng hợp thành kế hoạch năm và kế hoạch trung hạn 3–5 năm, trình xét duyệt, giao chỉ tiêu và theo dõi thực hiện. Khi một đề tài được chấp thuận hoặc một bài báo được xác minh, hệ thống hỗ trợ đối chiếu với chỉ tiêu đã giao.</w:t>
      </w:r>
    </w:p>
    <w:p>
      <w:pPr>
        <w:spacing w:before="0" w:after="80" w:line="300" w:lineRule="auto"/>
      </w:pPr>
      <w:r>
        <w:rPr>
          <w:rFonts w:ascii="Arial" w:hAnsi="Arial"/>
          <w:b/>
          <w:color w:val="1E293B"/>
          <w:sz w:val="21"/>
        </w:rPr>
        <w:t xml:space="preserve">Kết quả mang lại: </w:t>
      </w:r>
      <w:r>
        <w:rPr>
          <w:rFonts w:ascii="Arial" w:hAnsi="Arial"/>
          <w:color w:val="1E293B"/>
          <w:sz w:val="21"/>
        </w:rPr>
        <w:t>Thấy rõ kế hoạch nào đã hoàn thành, đang thực hiện, chưa đạt, cùng nguyên nhân và đơn vị phụ trách.</w:t>
      </w:r>
    </w:p>
    <w:p>
      <w:pPr>
        <w:keepNext/>
        <w:spacing w:before="240" w:after="80"/>
      </w:pPr>
      <w:r>
        <w:rPr>
          <w:rFonts w:ascii="Arial" w:hAnsi="Arial"/>
          <w:b/>
          <w:color w:val="4336A4"/>
          <w:sz w:val="24"/>
        </w:rPr>
        <w:t>04. Tiếp nhận trực tuyến đăng ký, đề xuất nhiệm vụ KHCN</w:t>
      </w:r>
    </w:p>
    <w:p>
      <w:pPr>
        <w:spacing w:before="0" w:after="80" w:line="300" w:lineRule="auto"/>
      </w:pPr>
      <w:r>
        <w:rPr>
          <w:rFonts w:ascii="Arial" w:hAnsi="Arial"/>
          <w:color w:val="1E293B"/>
          <w:sz w:val="21"/>
        </w:rPr>
        <w:t>Giảng viên đăng nhập, chọn đợt đăng ký, kê khai tên đề tài, lý do nghiên cứu, mục tiêu, dự kiến sản phẩm, thành viên, thời gian, kinh phí và đính kèm hồ sơ theo hướng dẫn. Có thể lưu bản nháp để điền dần; trước khi nộp hệ thống chỉ rõ còn thiếu mục nào. Sau khi gửi, giảng viên nhận mã hồ sơ, theo dõi trạng thái và bổ sung đúng phần được yêu cầu.</w:t>
      </w:r>
    </w:p>
    <w:p>
      <w:pPr>
        <w:spacing w:before="0" w:after="80" w:line="300" w:lineRule="auto"/>
      </w:pPr>
      <w:r>
        <w:rPr>
          <w:rFonts w:ascii="Arial" w:hAnsi="Arial"/>
          <w:b/>
          <w:color w:val="1E293B"/>
          <w:sz w:val="21"/>
        </w:rPr>
        <w:t xml:space="preserve">Kết quả mang lại: </w:t>
      </w:r>
      <w:r>
        <w:rPr>
          <w:rFonts w:ascii="Arial" w:hAnsi="Arial"/>
          <w:color w:val="1E293B"/>
          <w:sz w:val="21"/>
        </w:rPr>
        <w:t>Tiếp nhận thuận tiện từ xa, có bằng chứng thời điểm nộp, giảm thiểu giấy tờ và chống thất lạc hồ sơ.</w:t>
      </w:r>
    </w:p>
    <w:p>
      <w:pPr>
        <w:keepNext/>
        <w:spacing w:before="240" w:after="80"/>
      </w:pPr>
      <w:r>
        <w:rPr>
          <w:rFonts w:ascii="Arial" w:hAnsi="Arial"/>
          <w:b/>
          <w:color w:val="4336A4"/>
          <w:sz w:val="24"/>
        </w:rPr>
        <w:t>05. Quản lý toàn bộ quá trình thực hiện đề tài, nhiệm vụ</w:t>
      </w:r>
    </w:p>
    <w:p>
      <w:pPr>
        <w:spacing w:before="0" w:after="80" w:line="300" w:lineRule="auto"/>
      </w:pPr>
      <w:r>
        <w:rPr>
          <w:rFonts w:ascii="Arial" w:hAnsi="Arial"/>
          <w:color w:val="1E293B"/>
          <w:sz w:val="21"/>
        </w:rPr>
        <w:t>Đây là không gian chính của một đề tài: từ khi xét duyệt danh mục, hoàn thiện thuyết minh, ký hợp đồng, triển khai, kiểm tra đến nghiệm thu và lưu trữ. Hồ sơ hiển thị chủ nhiệm, đơn vị chủ trì, các thành viên, mục tiêu, sản phẩm phải bàn giao, kinh phí, các quyết định và tình trạng hiện tại. Đề tài cấp Học viện được thiết kế chi tiết nhất; cấp Bộ, cấp tỉnh, hợp tác và nhiệm vụ đột xuất có thể sử dụng bộ dữ liệu chung nhưng quy trình riêng phù hợp cấp quản lý.</w:t>
      </w:r>
    </w:p>
    <w:p>
      <w:pPr>
        <w:spacing w:before="0" w:after="80" w:line="300" w:lineRule="auto"/>
      </w:pPr>
      <w:r>
        <w:rPr>
          <w:rFonts w:ascii="Arial" w:hAnsi="Arial"/>
          <w:b/>
          <w:color w:val="1E293B"/>
          <w:sz w:val="21"/>
        </w:rPr>
        <w:t xml:space="preserve">Kết quả mang lại: </w:t>
      </w:r>
      <w:r>
        <w:rPr>
          <w:rFonts w:ascii="Arial" w:hAnsi="Arial"/>
          <w:color w:val="1E293B"/>
          <w:sz w:val="21"/>
        </w:rPr>
        <w:t>Mỗi đề tài có một hồ sơ số xuyên suốt vòng đời, không phải tạo lại hồ sơ ở từng giai đoạn.</w:t>
      </w:r>
    </w:p>
    <w:p>
      <w:pPr>
        <w:keepNext/>
        <w:spacing w:before="240" w:after="80"/>
      </w:pPr>
      <w:r>
        <w:rPr>
          <w:rFonts w:ascii="Arial" w:hAnsi="Arial"/>
          <w:b/>
          <w:color w:val="4336A4"/>
          <w:sz w:val="24"/>
        </w:rPr>
        <w:t>06. Quản lý hội đồng đánh giá và chuyên gia</w:t>
      </w:r>
    </w:p>
    <w:p>
      <w:pPr>
        <w:spacing w:before="0" w:after="80" w:line="300" w:lineRule="auto"/>
      </w:pPr>
      <w:r>
        <w:rPr>
          <w:rFonts w:ascii="Arial" w:hAnsi="Arial"/>
          <w:color w:val="1E293B"/>
          <w:sz w:val="21"/>
        </w:rPr>
        <w:t>Phòng KHCN lập danh sách hội đồng xét chọn, phản biện, đánh giá, nghiệm thu; phân công chủ tịch, thư ký, thành viên; gửi giấy mời và tài liệu đúng phạm vi được phép. Thành viên khai báo khả năng xung đột lợi ích (COI), đọc tài liệu, nộp nhận xét và chấm điểm theo biểu mẫu được Học viện phê duyệt. Thư ký tổng hợp phiếu, chuẩn bị biên bản, cập nhật kết luận và kết quả xử lý sau họp.</w:t>
      </w:r>
    </w:p>
    <w:p>
      <w:pPr>
        <w:spacing w:before="0" w:after="80" w:line="300" w:lineRule="auto"/>
      </w:pPr>
      <w:r>
        <w:rPr>
          <w:rFonts w:ascii="Arial" w:hAnsi="Arial"/>
          <w:b/>
          <w:color w:val="1E293B"/>
          <w:sz w:val="21"/>
        </w:rPr>
        <w:t xml:space="preserve">Kết quả mang lại: </w:t>
      </w:r>
      <w:r>
        <w:rPr>
          <w:rFonts w:ascii="Arial" w:hAnsi="Arial"/>
          <w:color w:val="1E293B"/>
          <w:sz w:val="21"/>
        </w:rPr>
        <w:t>Tổ chức họp ít thao tác thủ công, lưu trữ đầy đủ bằng chứng đánh giá; quyết định cuối cùng vẫn thuộc người có thẩm quyền.</w:t>
      </w:r>
    </w:p>
    <w:p>
      <w:pPr>
        <w:keepNext/>
        <w:spacing w:before="240" w:after="80"/>
      </w:pPr>
      <w:r>
        <w:rPr>
          <w:rFonts w:ascii="Arial" w:hAnsi="Arial"/>
          <w:b/>
          <w:color w:val="4336A4"/>
          <w:sz w:val="24"/>
        </w:rPr>
        <w:t>07. Quản lý tiến độ, báo cáo và kiểm tra đề tài</w:t>
      </w:r>
    </w:p>
    <w:p>
      <w:pPr>
        <w:spacing w:before="0" w:after="80" w:line="300" w:lineRule="auto"/>
      </w:pPr>
      <w:r>
        <w:rPr>
          <w:rFonts w:ascii="Arial" w:hAnsi="Arial"/>
          <w:color w:val="1E293B"/>
          <w:sz w:val="21"/>
        </w:rPr>
        <w:t>Chủ nhiệm lập kế hoạch theo từng giai đoạn (ví dụ: xây dựng phương pháp, chuẩn bị mẫu dược liệu, thu thập số liệu lâm sàng, xử lý kết quả, viết báo cáo). Mỗi giai đoạn có thời hạn, thành viên phụ trách, khối lượng dự kiến và sản phẩm minh chứng. Khi hoàn thành, người thực hiện cập nhật kết quả và tải tài liệu; Phòng KHCN xác nhận, yêu cầu làm rõ hoặc đề xuất kiểm tra. Màn hình Tiến độ đề tài kế thừa thiết kế trực quan của Research Hub, gồm trục thời gian Gantt, thanh tiến độ, trạng thái và lịch mốc sắp đến hạn; mở rộng thêm phần trăm tự báo cáo, phần trăm đã xác nhận và tình trạng có minh chứng.</w:t>
      </w:r>
    </w:p>
    <w:p>
      <w:pPr>
        <w:spacing w:before="0" w:after="80" w:line="300" w:lineRule="auto"/>
      </w:pPr>
      <w:r>
        <w:rPr>
          <w:rFonts w:ascii="Arial" w:hAnsi="Arial"/>
          <w:b/>
          <w:color w:val="1E293B"/>
          <w:sz w:val="21"/>
        </w:rPr>
        <w:t xml:space="preserve">Kết quả mang lại: </w:t>
      </w:r>
      <w:r>
        <w:rPr>
          <w:rFonts w:ascii="Arial" w:hAnsi="Arial"/>
          <w:color w:val="1E293B"/>
          <w:sz w:val="21"/>
        </w:rPr>
        <w:t>Biết chính xác đề tài nào đang chạy đúng tiến độ, đề tài nào cần hỗ trợ kịp thời.</w:t>
      </w:r>
    </w:p>
    <w:p>
      <w:pPr>
        <w:keepNext/>
        <w:spacing w:before="240" w:after="80"/>
      </w:pPr>
      <w:r>
        <w:rPr>
          <w:rFonts w:ascii="Arial" w:hAnsi="Arial"/>
          <w:b/>
          <w:color w:val="4336A4"/>
          <w:sz w:val="24"/>
        </w:rPr>
        <w:t>08. Quản lý kinh phí theo nhiệm vụ</w:t>
      </w:r>
    </w:p>
    <w:p>
      <w:pPr>
        <w:spacing w:before="0" w:after="80" w:line="300" w:lineRule="auto"/>
      </w:pPr>
      <w:r>
        <w:rPr>
          <w:rFonts w:ascii="Arial" w:hAnsi="Arial"/>
          <w:color w:val="1E293B"/>
          <w:sz w:val="21"/>
        </w:rPr>
        <w:t>Giảng viên lập dự toán theo nội dung nghiên cứu; Phòng KHCN và đơn vị tài chính thẩm định theo quy định. Khi triển khai, hồ sơ thể hiện kinh phí được duyệt, đề nghị tạm ứng, phần đã giải ngân, khoản đang đối soát và phần còn lại. Phòng Tài chính là đầu mối xác nhận số thực chi và quyết toán; phần mềm KHCN không tự thay thế nghiệp vụ kế toán.</w:t>
      </w:r>
    </w:p>
    <w:p>
      <w:pPr>
        <w:spacing w:before="0" w:after="80" w:line="300" w:lineRule="auto"/>
      </w:pPr>
      <w:r>
        <w:rPr>
          <w:rFonts w:ascii="Arial" w:hAnsi="Arial"/>
          <w:b/>
          <w:color w:val="1E293B"/>
          <w:sz w:val="21"/>
        </w:rPr>
        <w:t xml:space="preserve">Kết quả mang lại: </w:t>
      </w:r>
      <w:r>
        <w:rPr>
          <w:rFonts w:ascii="Arial" w:hAnsi="Arial"/>
          <w:color w:val="1E293B"/>
          <w:sz w:val="21"/>
        </w:rPr>
        <w:t>Phòng KHCN và Chủ nhiệm nắm chắc tiến độ giải ngân từng nhiệm vụ và kịp thời nhận diện vướng mắc tài chính.</w:t>
      </w:r>
    </w:p>
    <w:p>
      <w:pPr>
        <w:keepNext/>
        <w:spacing w:before="240" w:after="80"/>
      </w:pPr>
      <w:r>
        <w:rPr>
          <w:rFonts w:ascii="Arial" w:hAnsi="Arial"/>
          <w:b/>
          <w:color w:val="4336A4"/>
          <w:sz w:val="24"/>
        </w:rPr>
        <w:t>09. Quản lý bài báo và công bố khoa học</w:t>
      </w:r>
    </w:p>
    <w:p>
      <w:pPr>
        <w:spacing w:before="0" w:after="80" w:line="300" w:lineRule="auto"/>
      </w:pPr>
      <w:r>
        <w:rPr>
          <w:rFonts w:ascii="Arial" w:hAnsi="Arial"/>
          <w:color w:val="1E293B"/>
          <w:sz w:val="21"/>
        </w:rPr>
        <w:t>Giảng viên kê khai bài báo, đồng tác giả, đơn vị, tên tạp chí, ngày xuất bản, DOI, ISSN, cơ sở dữ liệu chỉ mục (WoS, Scopus, ngành), thông tin xếp hạng theo thời điểm và văn bản minh chứng. Phòng KHCN xác minh trước khi đưa vào báo cáo. Một bài báo có nhiều tác giả không bị đếm thành nhiều bài toàn Học viện; bài báo độc lập không xuất phát từ đề tài được giao vẫn được lưu.</w:t>
      </w:r>
    </w:p>
    <w:p>
      <w:pPr>
        <w:spacing w:before="0" w:after="80" w:line="300" w:lineRule="auto"/>
      </w:pPr>
      <w:r>
        <w:rPr>
          <w:rFonts w:ascii="Arial" w:hAnsi="Arial"/>
          <w:b/>
          <w:color w:val="1E293B"/>
          <w:sz w:val="21"/>
        </w:rPr>
        <w:t xml:space="preserve">Kết quả mang lại: </w:t>
      </w:r>
      <w:r>
        <w:rPr>
          <w:rFonts w:ascii="Arial" w:hAnsi="Arial"/>
          <w:color w:val="1E293B"/>
          <w:sz w:val="21"/>
        </w:rPr>
        <w:t>Số liệu công bố theo cá nhân, khoa, bộ môn và toàn Học viện thống nhất, chống đếm trùng.</w:t>
      </w:r>
    </w:p>
    <w:p>
      <w:pPr>
        <w:keepNext/>
        <w:spacing w:before="240" w:after="80"/>
      </w:pPr>
      <w:r>
        <w:rPr>
          <w:rFonts w:ascii="Arial" w:hAnsi="Arial"/>
          <w:b/>
          <w:color w:val="4336A4"/>
          <w:sz w:val="24"/>
        </w:rPr>
        <w:t>10. Quản lý sở hữu trí tuệ</w:t>
      </w:r>
    </w:p>
    <w:p>
      <w:pPr>
        <w:spacing w:before="0" w:after="80" w:line="300" w:lineRule="auto"/>
      </w:pPr>
      <w:r>
        <w:rPr>
          <w:rFonts w:ascii="Arial" w:hAnsi="Arial"/>
          <w:color w:val="1E293B"/>
          <w:sz w:val="21"/>
        </w:rPr>
        <w:t>Khi kết quả nghiên cứu có khả năng bảo hộ, chủ nhiệm đề xuất ghi nhận sáng chế, giải pháp hữu ích, quyền tác giả phần mềm, quy trình bào chế hoặc đối tượng phù hợp khác. Hồ sơ theo dõi tác giả, đơn vị, cơ sở hình thành kết quả, tình trạng chuẩn bị đơn, ngày nộp, thông báo thẩm định, văn bằng được cấp và thời hạn duy trì nếu có. Nội dung cần giữ bí mật được phân quyền riêng.</w:t>
      </w:r>
    </w:p>
    <w:p>
      <w:pPr>
        <w:spacing w:before="0" w:after="80" w:line="300" w:lineRule="auto"/>
      </w:pPr>
      <w:r>
        <w:rPr>
          <w:rFonts w:ascii="Arial" w:hAnsi="Arial"/>
          <w:b/>
          <w:color w:val="1E293B"/>
          <w:sz w:val="21"/>
        </w:rPr>
        <w:t xml:space="preserve">Kết quả mang lại: </w:t>
      </w:r>
      <w:r>
        <w:rPr>
          <w:rFonts w:ascii="Arial" w:hAnsi="Arial"/>
          <w:color w:val="1E293B"/>
          <w:sz w:val="21"/>
        </w:rPr>
        <w:t>Hạn chế bỏ sót cơ hội bảo hộ tài sản trí tuệ và theo dõi được giá trị kết quả nghiên cứu sau nghiệm thu.</w:t>
      </w:r>
    </w:p>
    <w:p>
      <w:pPr>
        <w:keepNext/>
        <w:spacing w:before="240" w:after="80"/>
      </w:pPr>
      <w:r>
        <w:rPr>
          <w:rFonts w:ascii="Arial" w:hAnsi="Arial"/>
          <w:b/>
          <w:color w:val="4336A4"/>
          <w:sz w:val="24"/>
        </w:rPr>
        <w:t>11. Quản lý hợp tác nghiên cứu và chuyển giao công nghệ</w:t>
      </w:r>
    </w:p>
    <w:p>
      <w:pPr>
        <w:spacing w:before="0" w:after="80" w:line="300" w:lineRule="auto"/>
      </w:pPr>
      <w:r>
        <w:rPr>
          <w:rFonts w:ascii="Arial" w:hAnsi="Arial"/>
          <w:color w:val="1E293B"/>
          <w:sz w:val="21"/>
        </w:rPr>
        <w:t>Phòng KHCN ghi nhận đối tác (bệnh viện, viện nghiên cứu, doanh nghiệp dược), nội dung hợp tác, văn bản ghi nhớ (MOU), dự án cùng thực hiện, hợp đồng chuyển giao, sản phẩm, giá trị hợp đồng và kết quả ứng dụng. Người quản lý có thể mở hồ sơ đối tác để xem các hoạt động liên quan theo năm, hoặc mở từ một đề tài để xem đã chuyển giao cho ai. Các nội dung có giá trị pháp lý và tài chính cần được xác nhận bởi đơn vị có thẩm quyền.</w:t>
      </w:r>
    </w:p>
    <w:p>
      <w:pPr>
        <w:spacing w:before="0" w:after="80" w:line="300" w:lineRule="auto"/>
      </w:pPr>
      <w:r>
        <w:rPr>
          <w:rFonts w:ascii="Arial" w:hAnsi="Arial"/>
          <w:b/>
          <w:color w:val="1E293B"/>
          <w:sz w:val="21"/>
        </w:rPr>
        <w:t xml:space="preserve">Kết quả mang lại: </w:t>
      </w:r>
      <w:r>
        <w:rPr>
          <w:rFonts w:ascii="Arial" w:hAnsi="Arial"/>
          <w:color w:val="1E293B"/>
          <w:sz w:val="21"/>
        </w:rPr>
        <w:t>Hoạt động hợp tác và thương mại hóa kết quả nghiên cứu được theo dõi liên tục, không dừng ở việc ký văn bản.</w:t>
      </w:r>
    </w:p>
    <w:p>
      <w:pPr>
        <w:keepNext/>
        <w:spacing w:before="240" w:after="80"/>
      </w:pPr>
      <w:r>
        <w:rPr>
          <w:rFonts w:ascii="Arial" w:hAnsi="Arial"/>
          <w:b/>
          <w:color w:val="4336A4"/>
          <w:sz w:val="24"/>
        </w:rPr>
        <w:t>12. Báo cáo tổng hợp và thống kê hoạt động KHCN</w:t>
      </w:r>
    </w:p>
    <w:p>
      <w:pPr>
        <w:spacing w:before="0" w:after="80" w:line="300" w:lineRule="auto"/>
      </w:pPr>
      <w:r>
        <w:rPr>
          <w:rFonts w:ascii="Arial" w:hAnsi="Arial"/>
          <w:color w:val="1E293B"/>
          <w:sz w:val="21"/>
        </w:rPr>
        <w:t>Phòng KHCN chọn khoảng thời gian, đơn vị, lĩnh vực, cấp nhiệm vụ và loại kết quả để xuất thống kê. Báo cáo có thể trình bày số đề tài đăng ký, đang thực hiện, quá hạn, nghiệm thu, kinh phí, bài báo, sách, sở hữu trí tuệ và chuyển giao; so sánh kế hoạch với kết quả. Các mẫu biểu theo Bộ Y tế, Bộ GD&amp;ĐT và kiểm định chỉ triển khai khi được cung cấp mẫu, quy tắc lấy số liệu và thẩm quyền xác nhận.</w:t>
      </w:r>
    </w:p>
    <w:p>
      <w:pPr>
        <w:spacing w:before="0" w:after="80" w:line="300" w:lineRule="auto"/>
      </w:pPr>
      <w:r>
        <w:rPr>
          <w:rFonts w:ascii="Arial" w:hAnsi="Arial"/>
          <w:b/>
          <w:color w:val="1E293B"/>
          <w:sz w:val="21"/>
        </w:rPr>
        <w:t xml:space="preserve">Kết quả mang lại: </w:t>
      </w:r>
      <w:r>
        <w:rPr>
          <w:rFonts w:ascii="Arial" w:hAnsi="Arial"/>
          <w:color w:val="1E293B"/>
          <w:sz w:val="21"/>
        </w:rPr>
        <w:t>Tổng hợp nhanh chóng, có thể truy ngược từng con số thống kê đến hồ sơ gốc minh chứng.</w:t>
      </w:r>
    </w:p>
    <w:p>
      <w:pPr>
        <w:keepNext/>
        <w:spacing w:before="240" w:after="80"/>
      </w:pPr>
      <w:r>
        <w:rPr>
          <w:rFonts w:ascii="Arial" w:hAnsi="Arial"/>
          <w:b/>
          <w:color w:val="4336A4"/>
          <w:sz w:val="24"/>
        </w:rPr>
        <w:t>13. Màn hình theo dõi dành cho Ban Giám đốc (Executive Cockpit)</w:t>
      </w:r>
    </w:p>
    <w:p>
      <w:pPr>
        <w:spacing w:before="0" w:after="80" w:line="300" w:lineRule="auto"/>
      </w:pPr>
      <w:r>
        <w:rPr>
          <w:rFonts w:ascii="Arial" w:hAnsi="Arial"/>
          <w:color w:val="1E293B"/>
          <w:sz w:val="21"/>
        </w:rPr>
        <w:t>Ngay khi đăng nhập, lãnh đạo nhìn thấy bức tranh toàn cảnh Học viện và các vấn đề cần quyết định ngay: đề tài gần hết hạn, hồ sơ chờ phê duyệt, đơn vị chưa đạt chỉ tiêu, kết quả công bố, kinh phí và các mốc hội đồng. Mỗi biểu đồ, chỉ tiêu có thể nhấn để mở danh sách đề tài hoặc hồ sơ chi tiết; không dùng số liệu minh họa làm dữ liệu thực tế.</w:t>
      </w:r>
    </w:p>
    <w:p>
      <w:pPr>
        <w:spacing w:before="0" w:after="80" w:line="300" w:lineRule="auto"/>
      </w:pPr>
      <w:r>
        <w:rPr>
          <w:rFonts w:ascii="Arial" w:hAnsi="Arial"/>
          <w:b/>
          <w:color w:val="1E293B"/>
          <w:sz w:val="21"/>
        </w:rPr>
        <w:t xml:space="preserve">Kết quả mang lại: </w:t>
      </w:r>
      <w:r>
        <w:rPr>
          <w:rFonts w:ascii="Arial" w:hAnsi="Arial"/>
          <w:color w:val="1E293B"/>
          <w:sz w:val="21"/>
        </w:rPr>
        <w:t>Thuận tiện cho công tác chỉ đạo điều hành, không phải yêu cầu Phòng KHCN lập báo cáo giấy riêng cho mỗi cuộc họp.</w:t>
      </w:r>
    </w:p>
    <w:p>
      <w:pPr>
        <w:keepNext/>
        <w:spacing w:before="240" w:after="80"/>
      </w:pPr>
      <w:r>
        <w:rPr>
          <w:rFonts w:ascii="Arial" w:hAnsi="Arial"/>
          <w:b/>
          <w:color w:val="4336A4"/>
          <w:sz w:val="24"/>
        </w:rPr>
        <w:t>14. Quản lý hội nghị, hội thảo khoa học</w:t>
      </w:r>
    </w:p>
    <w:p>
      <w:pPr>
        <w:spacing w:before="0" w:after="80" w:line="300" w:lineRule="auto"/>
      </w:pPr>
      <w:r>
        <w:rPr>
          <w:rFonts w:ascii="Arial" w:hAnsi="Arial"/>
          <w:color w:val="1E293B"/>
          <w:sz w:val="21"/>
        </w:rPr>
        <w:t>Đơn vị đề xuất tổ chức hội nghị/hội thảo, kê khai mục tiêu, chương trình, diễn giả, khách mời, dự toán kinh phí, địa điểm và tài liệu. Phòng KHCN tiếp nhận, xin ý kiến phê duyệt, quản lý danh sách bài tham luận, giấy mời, biên bản và báo cáo sau sự kiện.</w:t>
      </w:r>
    </w:p>
    <w:p>
      <w:pPr>
        <w:spacing w:before="0" w:after="80" w:line="300" w:lineRule="auto"/>
      </w:pPr>
      <w:r>
        <w:rPr>
          <w:rFonts w:ascii="Arial" w:hAnsi="Arial"/>
          <w:b/>
          <w:color w:val="1E293B"/>
          <w:sz w:val="21"/>
        </w:rPr>
        <w:t xml:space="preserve">Kết quả mang lại: </w:t>
      </w:r>
      <w:r>
        <w:rPr>
          <w:rFonts w:ascii="Arial" w:hAnsi="Arial"/>
          <w:color w:val="1E293B"/>
          <w:sz w:val="21"/>
        </w:rPr>
        <w:t>Mỗi hoạt động khoa học có đầy đủ kế hoạch, hồ sơ thực hiện, sản phẩm tham luận và đánh giá kết quả sau hội thảo.</w:t>
      </w:r>
    </w:p>
    <w:p>
      <w:pPr>
        <w:keepNext/>
        <w:spacing w:before="240" w:after="80"/>
      </w:pPr>
      <w:r>
        <w:rPr>
          <w:rFonts w:ascii="Arial" w:hAnsi="Arial"/>
          <w:b/>
          <w:color w:val="4336A4"/>
          <w:sz w:val="24"/>
        </w:rPr>
        <w:t>15. Quản lý hồ sơ hội đồng đạo đức nghiên cứu</w:t>
      </w:r>
    </w:p>
    <w:p>
      <w:pPr>
        <w:spacing w:before="0" w:after="80" w:line="300" w:lineRule="auto"/>
      </w:pPr>
      <w:r>
        <w:rPr>
          <w:rFonts w:ascii="Arial" w:hAnsi="Arial"/>
          <w:color w:val="1E293B"/>
          <w:sz w:val="21"/>
        </w:rPr>
        <w:t>Hệ thống hỗ trợ tiếp nhận đề nghị xem xét đạo đức nghiên cứu đối với hoạt động có người tham gia (nghiên cứu y sinh lâm sàng) và nghiên cứu động vật thực nghiệm trong phạm vi Học viện quản lý. Chủ nhiệm nộp đề cương và tài liệu bắt buộc, thư ký hội đồng kiểm tra điều kiện tiếp nhận, phân công phản biện, quản lý các lần yêu cầu sửa, biên bản họp, kết luận và theo dõi sửa đổi trong quá trình nghiên cứu. Quy trình trên người và động vật phải được xác định độc lập theo quy định áp dụng, không tự dùng chung một mẫu quyết định.</w:t>
      </w:r>
    </w:p>
    <w:p>
      <w:pPr>
        <w:spacing w:before="0" w:after="80" w:line="300" w:lineRule="auto"/>
      </w:pPr>
      <w:r>
        <w:rPr>
          <w:rFonts w:ascii="Arial" w:hAnsi="Arial"/>
          <w:b/>
          <w:color w:val="1E293B"/>
          <w:sz w:val="21"/>
        </w:rPr>
        <w:t xml:space="preserve">Kết quả mang lại: </w:t>
      </w:r>
      <w:r>
        <w:rPr>
          <w:rFonts w:ascii="Arial" w:hAnsi="Arial"/>
          <w:color w:val="1E293B"/>
          <w:sz w:val="21"/>
        </w:rPr>
        <w:t>Hồ sơ đạo đức có đầy đủ dấu vết xử lý; cam kết không lưu trữ tràn lan bệnh án hoặc dữ liệu sức khỏe gốc ngoài phạm vi.</w:t>
      </w:r>
    </w:p>
    <w:p>
      <w:pPr>
        <w:keepNext/>
        <w:spacing w:before="240" w:after="80"/>
      </w:pPr>
      <w:r>
        <w:rPr>
          <w:rFonts w:ascii="Arial" w:hAnsi="Arial"/>
          <w:b/>
          <w:color w:val="4336A4"/>
          <w:sz w:val="24"/>
        </w:rPr>
        <w:t>16. Quản lý biên soạn giáo trình, sách và tài liệu giảng dạy</w:t>
      </w:r>
    </w:p>
    <w:p>
      <w:pPr>
        <w:spacing w:before="0" w:after="80" w:line="300" w:lineRule="auto"/>
      </w:pPr>
      <w:r>
        <w:rPr>
          <w:rFonts w:ascii="Arial" w:hAnsi="Arial"/>
          <w:color w:val="1E293B"/>
          <w:sz w:val="21"/>
        </w:rPr>
        <w:t>Giảng viên hoặc đơn vị đề xuất biên soạn sách, giáo trình, tài liệu; khai báo tên tài liệu, tác giả, chương trình sử dụng, tiến độ viết và bản thảo. Hệ thống theo dõi thẩm định, phản biện, chỉnh sửa, nghiệm thu, xuất bản và đưa vào sử dụng theo quy định của Học viện. Tài liệu xuất bản được liên kết với hồ sơ tác giả và danh mục sản phẩm KHCN nếu thuộc tiêu chí ghi nhận.</w:t>
      </w:r>
    </w:p>
    <w:p>
      <w:pPr>
        <w:spacing w:before="0" w:after="80" w:line="300" w:lineRule="auto"/>
      </w:pPr>
      <w:r>
        <w:rPr>
          <w:rFonts w:ascii="Arial" w:hAnsi="Arial"/>
          <w:b/>
          <w:color w:val="1E293B"/>
          <w:sz w:val="21"/>
        </w:rPr>
        <w:t xml:space="preserve">Kết quả mang lại: </w:t>
      </w:r>
      <w:r>
        <w:rPr>
          <w:rFonts w:ascii="Arial" w:hAnsi="Arial"/>
          <w:color w:val="1E293B"/>
          <w:sz w:val="21"/>
        </w:rPr>
        <w:t>Theo dõi xuyên suốt từ đăng ký biên soạn đến tài liệu được nghiệm thu, không thất lạc các phiên bản bản thảo.</w:t>
      </w:r>
    </w:p>
    <w:p>
      <w:pPr>
        <w:keepNext/>
        <w:spacing w:before="240" w:after="80"/>
      </w:pPr>
      <w:r>
        <w:rPr>
          <w:rFonts w:ascii="Arial" w:hAnsi="Arial"/>
          <w:b/>
          <w:color w:val="4336A4"/>
          <w:sz w:val="24"/>
        </w:rPr>
        <w:t>17. Quản lý hoạt động Hội đồng Khoa học và Đào tạo</w:t>
      </w:r>
    </w:p>
    <w:p>
      <w:pPr>
        <w:spacing w:before="0" w:after="80" w:line="300" w:lineRule="auto"/>
      </w:pPr>
      <w:r>
        <w:rPr>
          <w:rFonts w:ascii="Arial" w:hAnsi="Arial"/>
          <w:color w:val="1E293B"/>
          <w:sz w:val="21"/>
        </w:rPr>
        <w:t>Thư ký quản lý kế hoạch họp, nội dung trình, dự thảo văn bản, tài liệu cho từng thành viên, danh sách tham dự, biên bản và kết luận. Có thể liên kết hồ sơ đề tài hoặc kế hoạch nghiên cứu cần xin ý kiến hội đồng. Các quyền biểu quyết và nguyên tắc họp căn cứ quy định riêng của hội đồng.</w:t>
      </w:r>
    </w:p>
    <w:p>
      <w:pPr>
        <w:spacing w:before="0" w:after="80" w:line="300" w:lineRule="auto"/>
      </w:pPr>
      <w:r>
        <w:rPr>
          <w:rFonts w:ascii="Arial" w:hAnsi="Arial"/>
          <w:b/>
          <w:color w:val="1E293B"/>
          <w:sz w:val="21"/>
        </w:rPr>
        <w:t xml:space="preserve">Kết quả mang lại: </w:t>
      </w:r>
      <w:r>
        <w:rPr>
          <w:rFonts w:ascii="Arial" w:hAnsi="Arial"/>
          <w:color w:val="1E293B"/>
          <w:sz w:val="21"/>
        </w:rPr>
        <w:t>Công việc chuẩn bị họp và theo dõi kết luận cuộc họp thuận tiện, rõ đầu mối và thời hạn thực hiện.</w:t>
      </w:r>
    </w:p>
    <w:p>
      <w:pPr>
        <w:keepNext/>
        <w:spacing w:before="240" w:after="80"/>
      </w:pPr>
      <w:r>
        <w:rPr>
          <w:rFonts w:ascii="Arial" w:hAnsi="Arial"/>
          <w:b/>
          <w:color w:val="4336A4"/>
          <w:sz w:val="24"/>
        </w:rPr>
        <w:t>18. Quản lý hồ sơ Hội đồng giáo sư cơ sở</w:t>
      </w:r>
    </w:p>
    <w:p>
      <w:pPr>
        <w:spacing w:before="0" w:after="80" w:line="300" w:lineRule="auto"/>
      </w:pPr>
      <w:r>
        <w:rPr>
          <w:rFonts w:ascii="Arial" w:hAnsi="Arial"/>
          <w:color w:val="1E293B"/>
          <w:sz w:val="21"/>
        </w:rPr>
        <w:t>Ứng viên và bộ phận phụ trách đăng tải các hồ sơ theo bộ biểu mẫu từng kỳ xét; liệt kê công trình, nhiệm vụ khoa học, hoạt động hướng dẫn và minh chứng. Hội đồng kiểm tra tính đầy đủ, phân công thẩm định và quản lý các vòng xử lý theo quy định riêng. Không coi việc chấm điểm sơ bộ của phần mềm là kết luận công nhận chức danh.</w:t>
      </w:r>
    </w:p>
    <w:p>
      <w:pPr>
        <w:spacing w:before="0" w:after="80" w:line="300" w:lineRule="auto"/>
      </w:pPr>
      <w:r>
        <w:rPr>
          <w:rFonts w:ascii="Arial" w:hAnsi="Arial"/>
          <w:b/>
          <w:color w:val="1E293B"/>
          <w:sz w:val="21"/>
        </w:rPr>
        <w:t xml:space="preserve">Kết quả mang lại: </w:t>
      </w:r>
      <w:r>
        <w:rPr>
          <w:rFonts w:ascii="Arial" w:hAnsi="Arial"/>
          <w:color w:val="1E293B"/>
          <w:sz w:val="21"/>
        </w:rPr>
        <w:t>Hồ sơ có cấu trúc chặt chẽ, dễ đối chiếu minh chứng, thuận tiện chuẩn bị cho các kỳ xét chức danh GS/PGS.</w:t>
      </w:r>
    </w:p>
    <w:p>
      <w:pPr>
        <w:keepNext/>
        <w:spacing w:before="240" w:after="80"/>
      </w:pPr>
      <w:r>
        <w:rPr>
          <w:rFonts w:ascii="Arial" w:hAnsi="Arial"/>
          <w:b/>
          <w:color w:val="4336A4"/>
          <w:sz w:val="24"/>
        </w:rPr>
        <w:t>19. Kho hồ sơ khoa học điện tử</w:t>
      </w:r>
    </w:p>
    <w:p>
      <w:pPr>
        <w:spacing w:before="0" w:after="80" w:line="300" w:lineRule="auto"/>
      </w:pPr>
      <w:r>
        <w:rPr>
          <w:rFonts w:ascii="Arial" w:hAnsi="Arial"/>
          <w:color w:val="1E293B"/>
          <w:sz w:val="21"/>
        </w:rPr>
        <w:t>Mỗi đề tài, cuộc họp, công bố hoặc hợp đồng có mục tài liệu riêng; người dùng được phép tải lên, xem phiên bản trước, ghi chú và tra cứu tài liệu. Hồ sơ có loại, ngày ban hành, người tải, phiên bản, đơn vị quản lý và mức độ được phép truy cập. Các hồ sơ hạn chế công bố hoặc có thông tin cá nhân nhạy cảm được quản lý riêng.</w:t>
      </w:r>
    </w:p>
    <w:p>
      <w:pPr>
        <w:spacing w:before="0" w:after="80" w:line="300" w:lineRule="auto"/>
      </w:pPr>
      <w:r>
        <w:rPr>
          <w:rFonts w:ascii="Arial" w:hAnsi="Arial"/>
          <w:b/>
          <w:color w:val="1E293B"/>
          <w:sz w:val="21"/>
        </w:rPr>
        <w:t xml:space="preserve">Kết quả mang lại: </w:t>
      </w:r>
      <w:r>
        <w:rPr>
          <w:rFonts w:ascii="Arial" w:hAnsi="Arial"/>
          <w:color w:val="1E293B"/>
          <w:sz w:val="21"/>
        </w:rPr>
        <w:t>Truy lại được bản đã được duyệt và toàn bộ lịch sử bổ sung hồ sơ khi kiểm tra thanh tra hoặc nghiệm thu.</w:t>
      </w:r>
    </w:p>
    <w:p>
      <w:pPr>
        <w:keepNext/>
        <w:spacing w:before="240" w:after="80"/>
      </w:pPr>
      <w:r>
        <w:rPr>
          <w:rFonts w:ascii="Arial" w:hAnsi="Arial"/>
          <w:b/>
          <w:color w:val="4336A4"/>
          <w:sz w:val="24"/>
        </w:rPr>
        <w:t>20. Thông báo và nhắc việc tự động</w:t>
      </w:r>
    </w:p>
    <w:p>
      <w:pPr>
        <w:spacing w:before="0" w:after="80" w:line="300" w:lineRule="auto"/>
      </w:pPr>
      <w:r>
        <w:rPr>
          <w:rFonts w:ascii="Arial" w:hAnsi="Arial"/>
          <w:color w:val="1E293B"/>
          <w:sz w:val="21"/>
        </w:rPr>
        <w:t>Hệ thống gửi thông báo khi mở đợt đăng ký, hồ sơ cần bổ sung, tài liệu đã được tiếp nhận, có lịch họp hội đồng, tới hạn báo cáo hoặc được giao việc mới. Người dùng xem thông báo trong trang cá nhân và có thể nhận qua email nếu Học viện cấu hình. Thông báo có nút mở thẳng hồ sơ hoặc công việc liên quan.</w:t>
      </w:r>
    </w:p>
    <w:p>
      <w:pPr>
        <w:spacing w:before="0" w:after="80" w:line="300" w:lineRule="auto"/>
      </w:pPr>
      <w:r>
        <w:rPr>
          <w:rFonts w:ascii="Arial" w:hAnsi="Arial"/>
          <w:b/>
          <w:color w:val="1E293B"/>
          <w:sz w:val="21"/>
        </w:rPr>
        <w:t xml:space="preserve">Kết quả mang lại: </w:t>
      </w:r>
      <w:r>
        <w:rPr>
          <w:rFonts w:ascii="Arial" w:hAnsi="Arial"/>
          <w:color w:val="1E293B"/>
          <w:sz w:val="21"/>
        </w:rPr>
        <w:t>Giảm thiểu tình trạng chậm muộn, quên hạn và hạn chế việc chuyên viên phải gọi điện nhắc riêng từng người.</w:t>
      </w:r>
    </w:p>
    <w:p>
      <w:pPr>
        <w:keepNext/>
        <w:spacing w:before="240" w:after="80"/>
      </w:pPr>
      <w:r>
        <w:rPr>
          <w:rFonts w:ascii="Arial" w:hAnsi="Arial"/>
          <w:b/>
          <w:color w:val="4336A4"/>
          <w:sz w:val="24"/>
        </w:rPr>
        <w:t>21. Cổng sử dụng và quản trị phân quyền</w:t>
      </w:r>
    </w:p>
    <w:p>
      <w:pPr>
        <w:spacing w:before="0" w:after="80" w:line="300" w:lineRule="auto"/>
      </w:pPr>
      <w:r>
        <w:rPr>
          <w:rFonts w:ascii="Arial" w:hAnsi="Arial"/>
          <w:color w:val="1E293B"/>
          <w:sz w:val="21"/>
        </w:rPr>
        <w:t>Người dùng đăng nhập và nhìn thấy chức năng phù hợp với vai trò: giảng viên, chủ nhiệm, trưởng đơn vị, chuyên viên Phòng KHCN, thành viên hội đồng, Phòng Tài chính, lãnh đạo hay quản trị hệ thống. Mỗi hồ sơ chỉ được xem, sửa, gửi nhận xét hoặc phê duyệt bởi người có thẩm quyền; mọi thao tác quan trọng có lịch sử (audit trail). Cổng giảng viên cho phép thực hiện thủ tục từ xa; cổng Phòng KHCN tập trung xử lý; cổng lãnh đạo tập trung chỉ đạo và theo dõi.</w:t>
      </w:r>
    </w:p>
    <w:p>
      <w:pPr>
        <w:spacing w:before="0" w:after="80" w:line="300" w:lineRule="auto"/>
      </w:pPr>
      <w:r>
        <w:rPr>
          <w:rFonts w:ascii="Arial" w:hAnsi="Arial"/>
          <w:b/>
          <w:color w:val="1E293B"/>
          <w:sz w:val="21"/>
        </w:rPr>
        <w:t xml:space="preserve">Kết quả mang lại: </w:t>
      </w:r>
      <w:r>
        <w:rPr>
          <w:rFonts w:ascii="Arial" w:hAnsi="Arial"/>
          <w:color w:val="1E293B"/>
          <w:sz w:val="21"/>
        </w:rPr>
        <w:t>Một hệ thống thống nhất nhưng đảm bảo bảo mật và phân quyền chặt chẽ, không phải ai cũng nhìn thấy mọi hồ sơ.</w:t>
      </w:r>
    </w:p>
    <w:p>
      <w:pPr>
        <w:keepNext/>
        <w:spacing w:before="240" w:after="80"/>
      </w:pPr>
      <w:r>
        <w:rPr>
          <w:rFonts w:ascii="Arial" w:hAnsi="Arial"/>
          <w:b/>
          <w:color w:val="4336A4"/>
          <w:sz w:val="24"/>
        </w:rPr>
        <w:t>Bảng ma trận tổng hợp 21 nhóm chức năng và phân kỳ triển khai</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1871"/>
        <w:gridCol w:w="1871"/>
        <w:gridCol w:w="1871"/>
        <w:gridCol w:w="1871"/>
        <w:gridCol w:w="1871"/>
      </w:tblGrid>
      <w:tr>
        <w:trPr>
          <w:tblHeader/>
          <w:cantSplit/>
        </w:trPr>
        <w:tc>
          <w:tcPr>
            <w:tcW w:type="dxa" w:w="567"/>
            <w:shd w:fill="111B35"/>
            <w:tcMar>
              <w:top w:w="140" w:type="dxa"/>
              <w:bottom w:w="140" w:type="dxa"/>
              <w:left w:w="140" w:type="dxa"/>
              <w:right w:w="140" w:type="dxa"/>
            </w:tcMar>
          </w:tcPr>
          <w:p>
            <w:pPr>
              <w:spacing w:before="0" w:after="0"/>
              <w:jc w:val="center"/>
            </w:pPr>
            <w:r>
              <w:rPr>
                <w:rFonts w:ascii="Arial" w:hAnsi="Arial"/>
                <w:b/>
                <w:color w:val="FFFFFF"/>
                <w:sz w:val="18"/>
              </w:rPr>
              <w:t>Mã</w:t>
            </w:r>
          </w:p>
        </w:tc>
        <w:tc>
          <w:tcPr>
            <w:tcW w:type="dxa" w:w="2721"/>
            <w:shd w:fill="111B35"/>
            <w:tcMar>
              <w:top w:w="140" w:type="dxa"/>
              <w:bottom w:w="140" w:type="dxa"/>
              <w:left w:w="140" w:type="dxa"/>
              <w:right w:w="140" w:type="dxa"/>
            </w:tcMar>
          </w:tcPr>
          <w:p>
            <w:pPr>
              <w:spacing w:before="0" w:after="0"/>
            </w:pPr>
            <w:r>
              <w:rPr>
                <w:rFonts w:ascii="Arial" w:hAnsi="Arial"/>
                <w:b/>
                <w:color w:val="FFFFFF"/>
                <w:sz w:val="18"/>
              </w:rPr>
              <w:t>Tên nhóm chức năng</w:t>
            </w:r>
          </w:p>
        </w:tc>
        <w:tc>
          <w:tcPr>
            <w:tcW w:type="dxa" w:w="1814"/>
            <w:shd w:fill="111B35"/>
            <w:tcMar>
              <w:top w:w="140" w:type="dxa"/>
              <w:bottom w:w="140" w:type="dxa"/>
              <w:left w:w="140" w:type="dxa"/>
              <w:right w:w="140" w:type="dxa"/>
            </w:tcMar>
          </w:tcPr>
          <w:p>
            <w:pPr>
              <w:spacing w:before="0" w:after="0"/>
            </w:pPr>
            <w:r>
              <w:rPr>
                <w:rFonts w:ascii="Arial" w:hAnsi="Arial"/>
                <w:b/>
                <w:color w:val="FFFFFF"/>
                <w:sz w:val="18"/>
              </w:rPr>
              <w:t>Người dùng chính</w:t>
            </w:r>
          </w:p>
        </w:tc>
        <w:tc>
          <w:tcPr>
            <w:tcW w:type="dxa" w:w="3118"/>
            <w:shd w:fill="111B35"/>
            <w:tcMar>
              <w:top w:w="140" w:type="dxa"/>
              <w:bottom w:w="140" w:type="dxa"/>
              <w:left w:w="140" w:type="dxa"/>
              <w:right w:w="140" w:type="dxa"/>
            </w:tcMar>
          </w:tcPr>
          <w:p>
            <w:pPr>
              <w:spacing w:before="0" w:after="0"/>
            </w:pPr>
            <w:r>
              <w:rPr>
                <w:rFonts w:ascii="Arial" w:hAnsi="Arial"/>
                <w:b/>
                <w:color w:val="FFFFFF"/>
                <w:sz w:val="18"/>
              </w:rPr>
              <w:t>Đầu ra cốt lõi</w:t>
            </w:r>
          </w:p>
        </w:tc>
        <w:tc>
          <w:tcPr>
            <w:tcW w:type="dxa" w:w="1134"/>
            <w:shd w:fill="111B35"/>
            <w:tcMar>
              <w:top w:w="140" w:type="dxa"/>
              <w:bottom w:w="140" w:type="dxa"/>
              <w:left w:w="140" w:type="dxa"/>
              <w:right w:w="140" w:type="dxa"/>
            </w:tcMar>
          </w:tcPr>
          <w:p>
            <w:pPr>
              <w:spacing w:before="0" w:after="0"/>
              <w:jc w:val="center"/>
            </w:pPr>
            <w:r>
              <w:rPr>
                <w:rFonts w:ascii="Arial" w:hAnsi="Arial"/>
                <w:b/>
                <w:color w:val="FFFFFF"/>
                <w:sz w:val="18"/>
              </w:rPr>
              <w:t>Phân kỳ</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01</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Đơn vị &amp; Danh mục KHCN</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Phòng KHCN</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Cơ cấu tổ chức &amp; danh mục chuẩn hóa</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02</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Lý lịch khoa học cán bộ</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500 hồ sơ khoa học điện tử</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03</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Kế hoạch KHCN Học viện</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Phòng KHCN / Khoa</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Kế hoạch năm &amp; trung hạn 3-5 năm</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04</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Tiếp nhận trực tuyến đề xuất</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Hồ sơ đề xuất, biên nhận số hóa</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05</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Quản lý thực hiện nhiệm vụ</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Hồ sơ nhiệm vụ số xuyên suốt vòng đời</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06</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Hội đồng đánh giá &amp; Chuyên gia</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Hội đồng / Thư ký</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Phiếu nhận xét, COI, biên bản họp</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07</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Quản lý tiến độ &amp; Báo cáo</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Gantt mốc, kiểm chứng 3 tỷ lệ %</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08</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Quản lý kinh phí nhiệm vụ</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KHCN / Tài chính</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Dự toán, tạm ứng, đối soát thực chi</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09</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Bài báo &amp; Công bố khoa học</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Kho công bố, chỉ mục WoS/Scopus</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10</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Quản lý sở hữu trí tuệ</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Đơn bảo hộ, sáng chế, văn bằng</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11</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Hợp tác &amp; Chuyển giao</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KHCN / Đối tác</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Hợp đồng chuyển giao, dự án phối hợp</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12</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Báo cáo tổng hợp &amp; Thống kê</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Lãnh đạo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Báo cáo mẫu Bộ Y tế/GD&amp;ĐT</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2</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13</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Màn hình Ban Giám đốc</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Ban Giám đốc</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Executive Dashboard thời gian thực</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14</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Hội nghị &amp; Hội thảo KH</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Đơn vị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Kế hoạch sự kiện, kỷ yếu tham luận</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3</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15</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Hồ sơ Hội đồng đạo đức</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Thư ký HĐĐĐ</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Hồ sơ y sinh &amp; động vật độc lập</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3</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16</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Biên soạn giáo trình &amp; Sách</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Quy trình thẩm định, nghiệm thu sách</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3</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17</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Hoạt động HĐ KH&amp;ĐT</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Thư ký HĐ KH&amp;ĐT</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Chương trình họp, biên bản &amp; kết luận</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3</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18</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Hồ sơ HĐ Giáo sư cơ sở</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Ứng viên / Thư ký</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Hồ sơ xét chức danh GS/PGS</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3</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19</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Kho hồ sơ khoa học điện tử</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Toàn Học viện</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Tài liệu số hóa có quản lý phiên bản</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shd w:fill="F8FAFC"/>
            <w:tcMar>
              <w:top w:w="100" w:type="dxa"/>
              <w:bottom w:w="100" w:type="dxa"/>
              <w:left w:w="140" w:type="dxa"/>
              <w:right w:w="140" w:type="dxa"/>
            </w:tcMar>
          </w:tcPr>
          <w:p>
            <w:pPr>
              <w:spacing w:before="0" w:after="0" w:line="276" w:lineRule="auto"/>
              <w:jc w:val="center"/>
            </w:pPr>
            <w:r>
              <w:rPr>
                <w:rFonts w:ascii="Arial" w:hAnsi="Arial"/>
                <w:color w:val="1E293B"/>
                <w:sz w:val="17"/>
              </w:rPr>
              <w:t>20</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Thông báo &amp; Nhắc việc</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Toàn Học viện</w:t>
            </w:r>
          </w:p>
        </w:tc>
        <w:tc>
          <w:tcPr>
            <w:tcW w:type="dxa" w:w="3118"/>
            <w:shd w:fill="F8FAFC"/>
            <w:tcMar>
              <w:top w:w="100" w:type="dxa"/>
              <w:bottom w:w="100" w:type="dxa"/>
              <w:left w:w="140" w:type="dxa"/>
              <w:right w:w="140" w:type="dxa"/>
            </w:tcMar>
          </w:tcPr>
          <w:p>
            <w:pPr>
              <w:spacing w:before="0" w:after="0" w:line="276" w:lineRule="auto"/>
            </w:pPr>
            <w:r>
              <w:rPr>
                <w:rFonts w:ascii="Arial" w:hAnsi="Arial"/>
                <w:color w:val="1E293B"/>
                <w:sz w:val="17"/>
              </w:rPr>
              <w:t>Cảnh báo hạn, email &amp; in-app alerts</w:t>
            </w:r>
          </w:p>
        </w:tc>
        <w:tc>
          <w:tcPr>
            <w:tcW w:type="dxa" w:w="1134"/>
            <w:shd w:fill="F8FAFC"/>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r>
        <w:trPr>
          <w:cantSplit/>
        </w:trPr>
        <w:tc>
          <w:tcPr>
            <w:tcW w:type="dxa" w:w="567"/>
            <w:tcMar>
              <w:top w:w="100" w:type="dxa"/>
              <w:bottom w:w="100" w:type="dxa"/>
              <w:left w:w="140" w:type="dxa"/>
              <w:right w:w="140" w:type="dxa"/>
            </w:tcMar>
          </w:tcPr>
          <w:p>
            <w:pPr>
              <w:spacing w:before="0" w:after="0" w:line="276" w:lineRule="auto"/>
              <w:jc w:val="center"/>
            </w:pPr>
            <w:r>
              <w:rPr>
                <w:rFonts w:ascii="Arial" w:hAnsi="Arial"/>
                <w:color w:val="1E293B"/>
                <w:sz w:val="17"/>
              </w:rPr>
              <w:t>21</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Cổng sử dụng &amp; Phân quyền</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Quản trị / Các vai</w:t>
            </w:r>
          </w:p>
        </w:tc>
        <w:tc>
          <w:tcPr>
            <w:tcW w:type="dxa" w:w="3118"/>
            <w:tcMar>
              <w:top w:w="100" w:type="dxa"/>
              <w:bottom w:w="100" w:type="dxa"/>
              <w:left w:w="140" w:type="dxa"/>
              <w:right w:w="140" w:type="dxa"/>
            </w:tcMar>
          </w:tcPr>
          <w:p>
            <w:pPr>
              <w:spacing w:before="0" w:after="0" w:line="276" w:lineRule="auto"/>
            </w:pPr>
            <w:r>
              <w:rPr>
                <w:rFonts w:ascii="Arial" w:hAnsi="Arial"/>
                <w:color w:val="1E293B"/>
                <w:sz w:val="17"/>
              </w:rPr>
              <w:t>Ma trận phân quyền theo vai trò (RBAC)</w:t>
            </w:r>
          </w:p>
        </w:tc>
        <w:tc>
          <w:tcPr>
            <w:tcW w:type="dxa" w:w="1134"/>
            <w:tcMar>
              <w:top w:w="100" w:type="dxa"/>
              <w:bottom w:w="100" w:type="dxa"/>
              <w:left w:w="140" w:type="dxa"/>
              <w:right w:w="140" w:type="dxa"/>
            </w:tcMar>
          </w:tcPr>
          <w:p>
            <w:pPr>
              <w:spacing w:before="0" w:after="0" w:line="276" w:lineRule="auto"/>
              <w:jc w:val="center"/>
            </w:pPr>
            <w:r>
              <w:rPr>
                <w:rFonts w:ascii="Arial" w:hAnsi="Arial"/>
                <w:color w:val="1E293B"/>
                <w:sz w:val="17"/>
              </w:rPr>
              <w:t>Đợt 1</w:t>
            </w:r>
          </w:p>
        </w:tc>
      </w:tr>
    </w:tbl>
    <w:p>
      <w:pPr>
        <w:spacing w:before="0" w:after="80"/>
      </w:pPr>
    </w:p>
    <w:p>
      <w:pPr>
        <w:keepNext/>
        <w:spacing w:before="320" w:after="120"/>
      </w:pPr>
      <w:r>
        <w:rPr>
          <w:rFonts w:ascii="Arial" w:hAnsi="Arial"/>
          <w:b/>
          <w:color w:val="111B35"/>
          <w:sz w:val="28"/>
        </w:rPr>
        <w:t>PHẦN 4. CÁC LUỒNG NGHIỆP VỤ CHÍNH CẦN SỐ HÓA</w:t>
      </w:r>
    </w:p>
    <w:p>
      <w:pPr>
        <w:spacing w:before="0" w:after="80" w:line="300" w:lineRule="auto"/>
      </w:pPr>
      <w:r>
        <w:rPr>
          <w:rFonts w:ascii="Arial" w:hAnsi="Arial"/>
          <w:b/>
          <w:color w:val="1E293B"/>
          <w:sz w:val="21"/>
        </w:rPr>
        <w:t xml:space="preserve">1. Lập và giao kế hoạch KHCN: </w:t>
      </w:r>
      <w:r>
        <w:rPr>
          <w:rFonts w:ascii="Arial" w:hAnsi="Arial"/>
          <w:color w:val="1E293B"/>
          <w:sz w:val="21"/>
        </w:rPr>
        <w:t>Khoa/bộ môn đề xuất nhu cầu → Phòng KHCN tổng hợp định hướng → Lấy ý kiến, trình duyệt kế hoạch → Giao chỉ tiêu nghiên cứu → Theo dõi thực hiện.</w:t>
      </w:r>
    </w:p>
    <w:p>
      <w:pPr>
        <w:spacing w:before="0" w:after="80" w:line="300" w:lineRule="auto"/>
      </w:pPr>
      <w:r>
        <w:rPr>
          <w:rFonts w:ascii="Arial" w:hAnsi="Arial"/>
          <w:b/>
          <w:color w:val="1E293B"/>
          <w:sz w:val="21"/>
        </w:rPr>
        <w:t xml:space="preserve">2. Đăng ký và xét duyệt đề tài: </w:t>
      </w:r>
      <w:r>
        <w:rPr>
          <w:rFonts w:ascii="Arial" w:hAnsi="Arial"/>
          <w:color w:val="1E293B"/>
          <w:sz w:val="21"/>
        </w:rPr>
        <w:t>Phòng KHCN mở đợt → Giảng viên nộp đề xuất trực tuyến → Kiểm tra tính hợp lệ hồ sơ → Xem xét phê duyệt danh mục → Nộp thuyết minh chi tiết → Hội đồng đánh giá, phản biện → Thẩm định kinh phí → Phê duyệt và ký hợp đồng giao nhiệm vụ.</w:t>
      </w:r>
    </w:p>
    <w:p>
      <w:pPr>
        <w:spacing w:before="0" w:after="80" w:line="300" w:lineRule="auto"/>
      </w:pPr>
      <w:r>
        <w:rPr>
          <w:rFonts w:ascii="Arial" w:hAnsi="Arial"/>
          <w:b/>
          <w:color w:val="1E293B"/>
          <w:sz w:val="21"/>
        </w:rPr>
        <w:t xml:space="preserve">3. Thực hiện và theo dõi tiến độ: </w:t>
      </w:r>
      <w:r>
        <w:rPr>
          <w:rFonts w:ascii="Arial" w:hAnsi="Arial"/>
          <w:color w:val="1E293B"/>
          <w:sz w:val="21"/>
        </w:rPr>
        <w:t>Lập kế hoạch chi tiết theo mốc → Phân công công việc cho thành viên → Cập nhật kết quả định kỳ → Nộp báo cáo và minh chứng → Phòng KHCN thẩm định, xác nhận hoặc yêu cầu bổ sung → Cảnh báo các mốc sắp đến hạn hoặc quá hạn.</w:t>
      </w:r>
    </w:p>
    <w:p>
      <w:pPr>
        <w:spacing w:before="0" w:after="80" w:line="300" w:lineRule="auto"/>
      </w:pPr>
      <w:r>
        <w:rPr>
          <w:rFonts w:ascii="Arial" w:hAnsi="Arial"/>
          <w:b/>
          <w:color w:val="1E293B"/>
          <w:sz w:val="21"/>
        </w:rPr>
        <w:t xml:space="preserve">4. Điều chỉnh nhiệm vụ nghiên cứu: </w:t>
      </w:r>
      <w:r>
        <w:rPr>
          <w:rFonts w:ascii="Arial" w:hAnsi="Arial"/>
          <w:color w:val="1E293B"/>
          <w:sz w:val="21"/>
        </w:rPr>
        <w:t>Chủ nhiệm đề tài làm đơn nêu rõ lý do → Phòng KHCN và đơn vị chuyên môn kiểm tra → Cấp có thẩm quyền duyệt/không duyệt → Ghi nhận phiên bản kế hoạch mới có hiệu lực; lưu trữ nguyên trạng kế hoạch cũ để đối chiếu.</w:t>
      </w:r>
    </w:p>
    <w:p>
      <w:pPr>
        <w:spacing w:before="0" w:after="80" w:line="300" w:lineRule="auto"/>
      </w:pPr>
      <w:r>
        <w:rPr>
          <w:rFonts w:ascii="Arial" w:hAnsi="Arial"/>
          <w:b/>
          <w:color w:val="1E293B"/>
          <w:sz w:val="21"/>
        </w:rPr>
        <w:t xml:space="preserve">5. Nghiệm thu và kết thúc đề tài: </w:t>
      </w:r>
      <w:r>
        <w:rPr>
          <w:rFonts w:ascii="Arial" w:hAnsi="Arial"/>
          <w:color w:val="1E293B"/>
          <w:sz w:val="21"/>
        </w:rPr>
        <w:t>Chủ nhiệm nộp hồ sơ xin nghiệm thu → Phòng KHCN kiểm tra điều kiện → Hội đồng nghiệm thu đánh giá → Hoàn thiện báo cáo theo kết luận hội đồng → Quyết toán tài chính, thanh lý hợp đồng → Lưu trữ hồ sơ điện tử và theo dõi sản phẩm sau nghiệm thu.</w:t>
      </w:r>
    </w:p>
    <w:p>
      <w:pPr>
        <w:spacing w:before="0" w:after="80" w:line="300" w:lineRule="auto"/>
      </w:pPr>
      <w:r>
        <w:rPr>
          <w:rFonts w:ascii="Arial" w:hAnsi="Arial"/>
          <w:b/>
          <w:color w:val="1E293B"/>
          <w:sz w:val="21"/>
        </w:rPr>
        <w:t xml:space="preserve">6. Kê khai và công nhận kết quả KHCN: </w:t>
      </w:r>
      <w:r>
        <w:rPr>
          <w:rFonts w:ascii="Arial" w:hAnsi="Arial"/>
          <w:color w:val="1E293B"/>
          <w:sz w:val="21"/>
        </w:rPr>
        <w:t>Giảng viên kê khai bài báo/sản phẩm → Hệ thống kiểm tra trùng lặp và rà soát minh chứng → Phòng KHCN xác minh tính chính xác → Liên kết bài báo với tác giả, đơn vị và đề tài → Đưa vào thống kê chính thức toàn Học viện.</w:t>
      </w:r>
    </w:p>
    <w:p>
      <w:pPr>
        <w:spacing w:before="0" w:after="80" w:line="300" w:lineRule="auto"/>
      </w:pPr>
      <w:r>
        <w:rPr>
          <w:rFonts w:ascii="Arial" w:hAnsi="Arial"/>
          <w:b/>
          <w:color w:val="1E293B"/>
          <w:sz w:val="21"/>
        </w:rPr>
        <w:t xml:space="preserve">7. Hoạt động hội đồng chuyên biệt: </w:t>
      </w:r>
      <w:r>
        <w:rPr>
          <w:rFonts w:ascii="Arial" w:hAnsi="Arial"/>
          <w:color w:val="1E293B"/>
          <w:sz w:val="21"/>
        </w:rPr>
        <w:t>Tiếp nhận hồ sơ chuyên biệt (Đạo đức y sinh, Hội đồng giáo sư, HĐ KH&amp;ĐT) → Kiểm tra tính đầy đủ hồ sơ → Mời chuyên gia và gửi tài liệu → Thành viên kê khai xung đột lợi ích → Đánh giá theo quy định riêng → Lập biên bản, kết luận và lưu trữ.</w:t>
      </w:r>
    </w:p>
    <w:p>
      <w:pPr>
        <w:spacing w:before="0" w:after="80" w:line="300" w:lineRule="auto"/>
      </w:pPr>
      <w:r>
        <w:rPr>
          <w:rFonts w:ascii="Arial" w:hAnsi="Arial"/>
          <w:b/>
          <w:color w:val="1E293B"/>
          <w:sz w:val="21"/>
        </w:rPr>
        <w:t xml:space="preserve">8. Hội thảo, giáo trình và chuyển giao: </w:t>
      </w:r>
      <w:r>
        <w:rPr>
          <w:rFonts w:ascii="Arial" w:hAnsi="Arial"/>
          <w:color w:val="1E293B"/>
          <w:sz w:val="21"/>
        </w:rPr>
        <w:t>Đơn vị đăng ký đề xuất hoạt động → Xin phê duyệt chủ trương và dự toán → Tổ chức triển khai sự kiện/biên soạn → Nộp báo cáo kết quả và sản phẩm hoàn thành → Lưu trữ tài liệu minh chứng vào kho hồ sơ điện tử.</w:t>
      </w:r>
    </w:p>
    <w:p>
      <w:pPr>
        <w:keepNext/>
        <w:spacing w:before="320" w:after="120"/>
      </w:pPr>
      <w:r>
        <w:rPr>
          <w:rFonts w:ascii="Arial" w:hAnsi="Arial"/>
          <w:b/>
          <w:color w:val="111B35"/>
          <w:sz w:val="28"/>
        </w:rPr>
        <w:t>PHẦN 5. LUỒNG TRỌNG TÂM: ĐỀ TÀI KHCN CẤP HỌC VIỆN</w:t>
      </w:r>
    </w:p>
    <w:p>
      <w:pPr>
        <w:spacing w:before="0" w:after="80" w:line="300" w:lineRule="auto"/>
      </w:pPr>
      <w:r>
        <w:rPr>
          <w:rFonts w:ascii="Arial" w:hAnsi="Arial"/>
          <w:color w:val="1E293B"/>
          <w:sz w:val="21"/>
        </w:rPr>
        <w:t>Để Học viện dễ hình dung một kịch bản sử dụng thực tế, giả sử giảng viên đăng ký nghiên cứu đề tài: “Khảo sát đặc điểm chất lượng một số mẫu dược liệu phục vụ đào tạo và nghiên cứu tại Học viện”. Đây là ví dụ minh họa để rà soát quy trình, không phải số liệu nghiên cứu chính thức.</w:t>
      </w:r>
    </w:p>
    <w:p>
      <w:pPr>
        <w:keepNext/>
        <w:spacing w:before="240" w:after="80"/>
      </w:pPr>
      <w:r>
        <w:rPr>
          <w:rFonts w:ascii="Arial" w:hAnsi="Arial"/>
          <w:b/>
          <w:color w:val="4336A4"/>
          <w:sz w:val="24"/>
        </w:rPr>
        <w:t>5.1. Sáu chặng nghiệp vụ xuyên suốt</w:t>
      </w:r>
    </w:p>
    <w:p>
      <w:pPr>
        <w:spacing w:before="0" w:after="80" w:line="300" w:lineRule="auto"/>
      </w:pPr>
      <w:r>
        <w:rPr>
          <w:rFonts w:ascii="Arial" w:hAnsi="Arial"/>
          <w:b/>
          <w:color w:val="1E293B"/>
          <w:sz w:val="21"/>
        </w:rPr>
        <w:t xml:space="preserve">Chặng 1 — Kêu gọi và đăng ký: </w:t>
      </w:r>
      <w:r>
        <w:rPr>
          <w:rFonts w:ascii="Arial" w:hAnsi="Arial"/>
          <w:color w:val="1E293B"/>
          <w:sz w:val="21"/>
        </w:rPr>
        <w:t>Phòng KHCN tạo đợt đăng ký và công bố hướng dẫn. Giảng viên đăng nhập, điền biểu mẫu trực tuyến và tải tệp đính kèm. Hệ thống tự động kiểm tra các trường bắt buộc trước khi cho phép nộp. Sau khi gửi, hồ sơ chuyển trạng thái 'Chờ tiếp nhận', giảng viên được cấp mã hồ sơ để theo dõi.</w:t>
      </w:r>
    </w:p>
    <w:p>
      <w:pPr>
        <w:spacing w:before="0" w:after="80" w:line="300" w:lineRule="auto"/>
      </w:pPr>
      <w:r>
        <w:rPr>
          <w:rFonts w:ascii="Arial" w:hAnsi="Arial"/>
          <w:b/>
          <w:color w:val="1E293B"/>
          <w:sz w:val="21"/>
        </w:rPr>
        <w:t xml:space="preserve">Chặng 2 — Kiểm tra và lựa chọn: </w:t>
      </w:r>
      <w:r>
        <w:rPr>
          <w:rFonts w:ascii="Arial" w:hAnsi="Arial"/>
          <w:color w:val="1E293B"/>
          <w:sz w:val="21"/>
        </w:rPr>
        <w:t>Chuyên viên KHCN kiểm tra hồ sơ, có thể bấm 'Tiếp nhận', 'Yêu cầu bổ sung' kèm lý do cụ thể, hoặc đề xuất không hợp lệ theo thẩm quyền. Nếu cần nộp thuyết minh chi tiết, giảng viên nhận thông báo bổ sung. Hội đồng được thành lập, tiếp cận hồ sơ và đánh giá. Vấn đề xung đột lợi ích (COI) được rà soát trước khi chấm.</w:t>
      </w:r>
    </w:p>
    <w:p>
      <w:pPr>
        <w:spacing w:before="0" w:after="80" w:line="300" w:lineRule="auto"/>
      </w:pPr>
      <w:r>
        <w:rPr>
          <w:rFonts w:ascii="Arial" w:hAnsi="Arial"/>
          <w:b/>
          <w:color w:val="1E293B"/>
          <w:sz w:val="21"/>
        </w:rPr>
        <w:t xml:space="preserve">Chặng 3 — Phê duyệt và giao nhiệm vụ: </w:t>
      </w:r>
      <w:r>
        <w:rPr>
          <w:rFonts w:ascii="Arial" w:hAnsi="Arial"/>
          <w:color w:val="1E293B"/>
          <w:sz w:val="21"/>
        </w:rPr>
        <w:t>Kết quả đánh giá và dự toán kinh phí được tổng hợp trình Ban Giám đốc phê duyệt. Khi được phê duyệt, hệ thống ghi nhận hợp đồng, quyết định giao việc, danh sách thành viên, sản phẩm cam kết và lịch trình báo cáo. Chỉ gắn nhãn 'Đã ký' khi có minh chứng văn bản hợp lệ.</w:t>
      </w:r>
    </w:p>
    <w:p>
      <w:pPr>
        <w:spacing w:before="0" w:after="80" w:line="300" w:lineRule="auto"/>
      </w:pPr>
      <w:r>
        <w:rPr>
          <w:rFonts w:ascii="Arial" w:hAnsi="Arial"/>
          <w:b/>
          <w:color w:val="1E293B"/>
          <w:sz w:val="21"/>
        </w:rPr>
        <w:t xml:space="preserve">Chặng 4 — Theo dõi nghiên cứu: </w:t>
      </w:r>
      <w:r>
        <w:rPr>
          <w:rFonts w:ascii="Arial" w:hAnsi="Arial"/>
          <w:color w:val="1E293B"/>
          <w:sz w:val="21"/>
        </w:rPr>
        <w:t>Chủ nhiệm chia công việc thành các mốc: hoàn thiện phương pháp, thu thập mẫu dược liệu, thử nghiệm phân tích, xử lý số liệu, viết báo cáo. Tại mỗi mốc hiển thị: người thực hiện, thời hạn, tỷ lệ tự báo cáo, minh chứng đính kèm và phần Phòng KHCN đã xác nhận. Nếu chậm hạn, hệ thống hiển thị màu cảnh báo rõ ràng.</w:t>
      </w:r>
    </w:p>
    <w:p>
      <w:pPr>
        <w:spacing w:before="0" w:after="80" w:line="300" w:lineRule="auto"/>
      </w:pPr>
      <w:r>
        <w:rPr>
          <w:rFonts w:ascii="Arial" w:hAnsi="Arial"/>
          <w:b/>
          <w:color w:val="1E293B"/>
          <w:sz w:val="21"/>
        </w:rPr>
        <w:t xml:space="preserve">Chặng 5 — Nghiệm thu: </w:t>
      </w:r>
      <w:r>
        <w:rPr>
          <w:rFonts w:ascii="Arial" w:hAnsi="Arial"/>
          <w:color w:val="1E293B"/>
          <w:sz w:val="21"/>
        </w:rPr>
        <w:t>Khi đáp ứng đủ điều kiện theo quy định, chủ nhiệm tạo hồ sơ xin nghiệm thu. Phòng KHCN kiểm tra sản phẩm và tổ chức hội đồng nghiệm thu. Hội đồng nhận xét, đánh giá; nếu cần chỉnh sửa, hồ sơ trả về cho chủ nhiệm kèm danh sách nội dung cần hoàn thiện. Sau khi hoàn tất giải trình, tiến hành quyết toán và đóng hồ sơ.</w:t>
      </w:r>
    </w:p>
    <w:p>
      <w:pPr>
        <w:spacing w:before="0" w:after="80" w:line="300" w:lineRule="auto"/>
      </w:pPr>
      <w:r>
        <w:rPr>
          <w:rFonts w:ascii="Arial" w:hAnsi="Arial"/>
          <w:b/>
          <w:color w:val="1E293B"/>
          <w:sz w:val="21"/>
        </w:rPr>
        <w:t xml:space="preserve">Chặng 6 — Theo dõi sau nghiệm thu: </w:t>
      </w:r>
      <w:r>
        <w:rPr>
          <w:rFonts w:ascii="Arial" w:hAnsi="Arial"/>
          <w:color w:val="1E293B"/>
          <w:sz w:val="21"/>
        </w:rPr>
        <w:t>Các bài báo khoa học, giáo trình, quy trình bào chế hoặc tài sản trí tuệ phát sinh sau khi đề tài kết thúc vẫn được liên kết về mã đề tài ban đầu, đảm bảo ghi nhận đầy đủ giá trị nghiên cứu dài hạn.</w:t>
      </w:r>
    </w:p>
    <w:p>
      <w:pPr>
        <w:keepNext/>
        <w:spacing w:before="240" w:after="80"/>
      </w:pPr>
      <w:r>
        <w:rPr>
          <w:rFonts w:ascii="Arial" w:hAnsi="Arial"/>
          <w:b/>
          <w:color w:val="4336A4"/>
          <w:sz w:val="24"/>
        </w:rPr>
        <w:t>5.2. Giải thích 18 trạng thái người dùng (Ngôn ngữ hành chính học thuật)</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3118"/>
        <w:gridCol w:w="3118"/>
        <w:gridCol w:w="3118"/>
      </w:tblGrid>
      <w:tr>
        <w:trPr>
          <w:tblHeader/>
          <w:cantSplit/>
        </w:trPr>
        <w:tc>
          <w:tcPr>
            <w:tcW w:type="dxa" w:w="680"/>
            <w:shd w:fill="111B35"/>
            <w:tcMar>
              <w:top w:w="140" w:type="dxa"/>
              <w:bottom w:w="140" w:type="dxa"/>
              <w:left w:w="140" w:type="dxa"/>
              <w:right w:w="140" w:type="dxa"/>
            </w:tcMar>
          </w:tcPr>
          <w:p>
            <w:pPr>
              <w:spacing w:before="0" w:after="0"/>
              <w:jc w:val="center"/>
            </w:pPr>
            <w:r>
              <w:rPr>
                <w:rFonts w:ascii="Arial" w:hAnsi="Arial"/>
                <w:b/>
                <w:color w:val="FFFFFF"/>
                <w:sz w:val="18"/>
              </w:rPr>
              <w:t>STT</w:t>
            </w:r>
          </w:p>
        </w:tc>
        <w:tc>
          <w:tcPr>
            <w:tcW w:type="dxa" w:w="2721"/>
            <w:shd w:fill="111B35"/>
            <w:tcMar>
              <w:top w:w="140" w:type="dxa"/>
              <w:bottom w:w="140" w:type="dxa"/>
              <w:left w:w="140" w:type="dxa"/>
              <w:right w:w="140" w:type="dxa"/>
            </w:tcMar>
          </w:tcPr>
          <w:p>
            <w:pPr>
              <w:spacing w:before="0" w:after="0"/>
            </w:pPr>
            <w:r>
              <w:rPr>
                <w:rFonts w:ascii="Arial" w:hAnsi="Arial"/>
                <w:b/>
                <w:color w:val="FFFFFF"/>
                <w:sz w:val="18"/>
              </w:rPr>
              <w:t>Trạng thái hiển thị</w:t>
            </w:r>
          </w:p>
        </w:tc>
        <w:tc>
          <w:tcPr>
            <w:tcW w:type="dxa" w:w="5953"/>
            <w:shd w:fill="111B35"/>
            <w:tcMar>
              <w:top w:w="140" w:type="dxa"/>
              <w:bottom w:w="140" w:type="dxa"/>
              <w:left w:w="140" w:type="dxa"/>
              <w:right w:w="140" w:type="dxa"/>
            </w:tcMar>
          </w:tcPr>
          <w:p>
            <w:pPr>
              <w:spacing w:before="0" w:after="0"/>
            </w:pPr>
            <w:r>
              <w:rPr>
                <w:rFonts w:ascii="Arial" w:hAnsi="Arial"/>
                <w:b/>
                <w:color w:val="FFFFFF"/>
                <w:sz w:val="18"/>
              </w:rPr>
              <w:t>Ý nghĩa và quy định xử lý</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01</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Nháp</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Giảng viên đang soạn thảo, chưa bấm nộp; được phép chỉnh sửa mọi nội dung.</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02</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Đã gửi – chờ tiếp nhận</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Hồ sơ đã nộp thành công lên hệ thống, đang chờ chuyên viên Phòng KHCN mở kiểm tra.</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03</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Cần bổ sung</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Phòng KHCN yêu cầu hoàn thiện thêm thông tin/tài liệu; nêu rõ lý do và thời hạn bổ sung.</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04</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Hồ sơ hợp lệ – chờ đánh giá</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Đã nhận đủ hồ sơ theo quy định để đưa vào vòng xem xét (chưa đồng nghĩa với được phê duyệt).</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05</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Đang đánh giá</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Hội đồng hoặc chuyên gia phản biện đang nghiên cứu tài liệu và lập phiếu nhận xét.</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06</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Chờ phê duyệt</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Đã có kết quả đánh giá của hội đồng, đang trình Ban Giám đốc xem xét quyết định.</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07</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Được chấp thuận</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Đề xuất đề tài được chọn, chuẩn bị chuyển sang bước hoàn thiện thuyết minh và ký hợp đồng.</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08</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Không được chấp thuận</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Hồ sơ không được lựa chọn trong đợt này; hệ thống vẫn lưu trữ để tra cứu lịch sử.</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09</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Hoàn thiện hợp đồng</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Thuyết minh chi tiết và dự toán kinh phí đã thẩm định xong, đang tiến hành ký kết văn bản.</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10</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Đang thực hiện</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Đề tài đã có quyết định/hợp đồng hợp lệ và chính thức triển khai theo kế hoạch các mốc.</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11</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Chờ xác nhận tiến độ</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Chủ nhiệm đề tài đã nộp báo cáo mốc và minh chứng, chờ Phòng KHCN kiểm tra xác nhận.</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12</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Cần xử lý chậm tiến độ</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Hệ thống tự động cảnh báo do quá thời hạn kế hoạch hoặc kết quả xác nhận chưa đạt yêu cầu.</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13</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Đang xin điều chỉnh</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Có văn bản đề nghị thay đổi thời gian/thành viên/nội dung/kinh phí; kế hoạch cũ vẫn giữ nguyên hiệu lực.</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14</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Chờ nghiệm thu</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Chủ nhiệm đã nộp báo cáo tổng kết và sản phẩm, Phòng KHCN đang rà soát điều kiện nghiệm thu.</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15</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Đang hoàn thiện sau hội đồng</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Hội đồng nghiệm thu yêu cầu chỉnh sửa, chủ nhiệm đang cập nhật báo cáo và nộp bảng giải trình.</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16</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Đạt yêu cầu, chờ thanh lý</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Kết quả nghiệm thu được phê duyệt, đang hoàn thiện thủ tục quyết toán tài chính và thanh lý.</w:t>
            </w:r>
          </w:p>
        </w:tc>
      </w:tr>
      <w:tr>
        <w:trPr>
          <w:cantSplit/>
        </w:trPr>
        <w:tc>
          <w:tcPr>
            <w:tcW w:type="dxa" w:w="680"/>
            <w:tcMar>
              <w:top w:w="100" w:type="dxa"/>
              <w:bottom w:w="100" w:type="dxa"/>
              <w:left w:w="140" w:type="dxa"/>
              <w:right w:w="140" w:type="dxa"/>
            </w:tcMar>
          </w:tcPr>
          <w:p>
            <w:pPr>
              <w:spacing w:before="0" w:after="0" w:line="276" w:lineRule="auto"/>
              <w:jc w:val="center"/>
            </w:pPr>
            <w:r>
              <w:rPr>
                <w:rFonts w:ascii="Arial" w:hAnsi="Arial"/>
                <w:color w:val="1E293B"/>
                <w:sz w:val="17"/>
              </w:rPr>
              <w:t>17</w:t>
            </w:r>
          </w:p>
        </w:tc>
        <w:tc>
          <w:tcPr>
            <w:tcW w:type="dxa" w:w="2721"/>
            <w:tcMar>
              <w:top w:w="100" w:type="dxa"/>
              <w:bottom w:w="100" w:type="dxa"/>
              <w:left w:w="140" w:type="dxa"/>
              <w:right w:w="140" w:type="dxa"/>
            </w:tcMar>
          </w:tcPr>
          <w:p>
            <w:pPr>
              <w:spacing w:before="0" w:after="0" w:line="276" w:lineRule="auto"/>
            </w:pPr>
            <w:r>
              <w:rPr>
                <w:rFonts w:ascii="Arial" w:hAnsi="Arial"/>
                <w:color w:val="1E293B"/>
                <w:sz w:val="17"/>
              </w:rPr>
              <w:t>Đã hoàn thành</w:t>
            </w:r>
          </w:p>
        </w:tc>
        <w:tc>
          <w:tcPr>
            <w:tcW w:type="dxa" w:w="5953"/>
            <w:tcMar>
              <w:top w:w="100" w:type="dxa"/>
              <w:bottom w:w="100" w:type="dxa"/>
              <w:left w:w="140" w:type="dxa"/>
              <w:right w:w="140" w:type="dxa"/>
            </w:tcMar>
          </w:tcPr>
          <w:p>
            <w:pPr>
              <w:spacing w:before="0" w:after="0" w:line="276" w:lineRule="auto"/>
            </w:pPr>
            <w:r>
              <w:rPr>
                <w:rFonts w:ascii="Arial" w:hAnsi="Arial"/>
                <w:color w:val="1E293B"/>
                <w:sz w:val="17"/>
              </w:rPr>
              <w:t>Hồ sơ đề tài đủ điều kiện đóng chính thức; sản phẩm nghiên cứu tiếp tục được theo dõi.</w:t>
            </w:r>
          </w:p>
        </w:tc>
      </w:tr>
      <w:tr>
        <w:trPr>
          <w:cantSplit/>
        </w:trPr>
        <w:tc>
          <w:tcPr>
            <w:tcW w:type="dxa" w:w="680"/>
            <w:shd w:fill="F8FAFC"/>
            <w:tcMar>
              <w:top w:w="100" w:type="dxa"/>
              <w:bottom w:w="100" w:type="dxa"/>
              <w:left w:w="140" w:type="dxa"/>
              <w:right w:w="140" w:type="dxa"/>
            </w:tcMar>
          </w:tcPr>
          <w:p>
            <w:pPr>
              <w:spacing w:before="0" w:after="0" w:line="276" w:lineRule="auto"/>
              <w:jc w:val="center"/>
            </w:pPr>
            <w:r>
              <w:rPr>
                <w:rFonts w:ascii="Arial" w:hAnsi="Arial"/>
                <w:color w:val="1E293B"/>
                <w:sz w:val="17"/>
              </w:rPr>
              <w:t>18</w:t>
            </w:r>
          </w:p>
        </w:tc>
        <w:tc>
          <w:tcPr>
            <w:tcW w:type="dxa" w:w="2721"/>
            <w:shd w:fill="F8FAFC"/>
            <w:tcMar>
              <w:top w:w="100" w:type="dxa"/>
              <w:bottom w:w="100" w:type="dxa"/>
              <w:left w:w="140" w:type="dxa"/>
              <w:right w:w="140" w:type="dxa"/>
            </w:tcMar>
          </w:tcPr>
          <w:p>
            <w:pPr>
              <w:spacing w:before="0" w:after="0" w:line="276" w:lineRule="auto"/>
            </w:pPr>
            <w:r>
              <w:rPr>
                <w:rFonts w:ascii="Arial" w:hAnsi="Arial"/>
                <w:color w:val="1E293B"/>
                <w:sz w:val="17"/>
              </w:rPr>
              <w:t>Tạm dừng / dừng / hủy</w:t>
            </w:r>
          </w:p>
        </w:tc>
        <w:tc>
          <w:tcPr>
            <w:tcW w:type="dxa" w:w="5953"/>
            <w:shd w:fill="F8FAFC"/>
            <w:tcMar>
              <w:top w:w="100" w:type="dxa"/>
              <w:bottom w:w="100" w:type="dxa"/>
              <w:left w:w="140" w:type="dxa"/>
              <w:right w:w="140" w:type="dxa"/>
            </w:tcMar>
          </w:tcPr>
          <w:p>
            <w:pPr>
              <w:spacing w:before="0" w:after="0" w:line="276" w:lineRule="auto"/>
            </w:pPr>
            <w:r>
              <w:rPr>
                <w:rFonts w:ascii="Arial" w:hAnsi="Arial"/>
                <w:color w:val="1E293B"/>
                <w:sz w:val="17"/>
              </w:rPr>
              <w:t>Có quyết định dừng nhiệm vụ có căn cứ pháp lý và lưu vết lịch sử; hệ thống tuyệt đối không xóa dữ liệu.</w:t>
            </w:r>
          </w:p>
        </w:tc>
      </w:tr>
    </w:tbl>
    <w:p>
      <w:pPr>
        <w:spacing w:before="0" w:after="80"/>
      </w:pPr>
    </w:p>
    <w:p>
      <w:pPr>
        <w:keepNext/>
        <w:spacing w:before="240" w:after="80"/>
      </w:pPr>
      <w:r>
        <w:rPr>
          <w:rFonts w:ascii="Arial" w:hAnsi="Arial"/>
          <w:b/>
          <w:color w:val="4336A4"/>
          <w:sz w:val="24"/>
        </w:rPr>
        <w:t>5.3. Bảng quy trình chi tiết 16 bước thực hiện đề tài cấp Học viện</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1871"/>
        <w:gridCol w:w="1871"/>
        <w:gridCol w:w="1871"/>
        <w:gridCol w:w="1871"/>
        <w:gridCol w:w="1871"/>
      </w:tblGrid>
      <w:tr>
        <w:trPr>
          <w:tblHeader/>
          <w:cantSplit/>
        </w:trPr>
        <w:tc>
          <w:tcPr>
            <w:tcW w:type="dxa" w:w="1417"/>
            <w:shd w:fill="111B35"/>
            <w:tcMar>
              <w:top w:w="140" w:type="dxa"/>
              <w:bottom w:w="140" w:type="dxa"/>
              <w:left w:w="140" w:type="dxa"/>
              <w:right w:w="140" w:type="dxa"/>
            </w:tcMar>
          </w:tcPr>
          <w:p>
            <w:pPr>
              <w:spacing w:before="0" w:after="0"/>
            </w:pPr>
            <w:r>
              <w:rPr>
                <w:rFonts w:ascii="Arial" w:hAnsi="Arial"/>
                <w:b/>
                <w:color w:val="FFFFFF"/>
                <w:sz w:val="18"/>
              </w:rPr>
              <w:t>Bước</w:t>
            </w:r>
          </w:p>
        </w:tc>
        <w:tc>
          <w:tcPr>
            <w:tcW w:type="dxa" w:w="1814"/>
            <w:shd w:fill="111B35"/>
            <w:tcMar>
              <w:top w:w="140" w:type="dxa"/>
              <w:bottom w:w="140" w:type="dxa"/>
              <w:left w:w="140" w:type="dxa"/>
              <w:right w:w="140" w:type="dxa"/>
            </w:tcMar>
          </w:tcPr>
          <w:p>
            <w:pPr>
              <w:spacing w:before="0" w:after="0"/>
            </w:pPr>
            <w:r>
              <w:rPr>
                <w:rFonts w:ascii="Arial" w:hAnsi="Arial"/>
                <w:b/>
                <w:color w:val="FFFFFF"/>
                <w:sz w:val="18"/>
              </w:rPr>
              <w:t>Chủ thể thực hiện</w:t>
            </w:r>
          </w:p>
        </w:tc>
        <w:tc>
          <w:tcPr>
            <w:tcW w:type="dxa" w:w="2268"/>
            <w:shd w:fill="111B35"/>
            <w:tcMar>
              <w:top w:w="140" w:type="dxa"/>
              <w:bottom w:w="140" w:type="dxa"/>
              <w:left w:w="140" w:type="dxa"/>
              <w:right w:w="140" w:type="dxa"/>
            </w:tcMar>
          </w:tcPr>
          <w:p>
            <w:pPr>
              <w:spacing w:before="0" w:after="0"/>
            </w:pPr>
            <w:r>
              <w:rPr>
                <w:rFonts w:ascii="Arial" w:hAnsi="Arial"/>
                <w:b/>
                <w:color w:val="FFFFFF"/>
                <w:sz w:val="18"/>
              </w:rPr>
              <w:t>Thao tác trên phần mềm</w:t>
            </w:r>
          </w:p>
        </w:tc>
        <w:tc>
          <w:tcPr>
            <w:tcW w:type="dxa" w:w="1928"/>
            <w:shd w:fill="111B35"/>
            <w:tcMar>
              <w:top w:w="140" w:type="dxa"/>
              <w:bottom w:w="140" w:type="dxa"/>
              <w:left w:w="140" w:type="dxa"/>
              <w:right w:w="140" w:type="dxa"/>
            </w:tcMar>
          </w:tcPr>
          <w:p>
            <w:pPr>
              <w:spacing w:before="0" w:after="0"/>
            </w:pPr>
            <w:r>
              <w:rPr>
                <w:rFonts w:ascii="Arial" w:hAnsi="Arial"/>
                <w:b/>
                <w:color w:val="FFFFFF"/>
                <w:sz w:val="18"/>
              </w:rPr>
              <w:t>Tài liệu đầu vào</w:t>
            </w:r>
          </w:p>
        </w:tc>
        <w:tc>
          <w:tcPr>
            <w:tcW w:type="dxa" w:w="1928"/>
            <w:shd w:fill="111B35"/>
            <w:tcMar>
              <w:top w:w="140" w:type="dxa"/>
              <w:bottom w:w="140" w:type="dxa"/>
              <w:left w:w="140" w:type="dxa"/>
              <w:right w:w="140" w:type="dxa"/>
            </w:tcMar>
          </w:tcPr>
          <w:p>
            <w:pPr>
              <w:spacing w:before="0" w:after="0"/>
            </w:pPr>
            <w:r>
              <w:rPr>
                <w:rFonts w:ascii="Arial" w:hAnsi="Arial"/>
                <w:b/>
                <w:color w:val="FFFFFF"/>
                <w:sz w:val="18"/>
              </w:rPr>
              <w:t>Kết quả đầu ra &amp; bước tiếp</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01. Lập kế hoạch</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Khoa/Bộ môn, KHCN</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Đăng ký nhu cầu, định hướng đề tài năm</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Hướng nghiên cứu, danh mục cũ</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Dự thảo kế hoạch KHCN năm</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02. Công bố đợt</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Phòng KHCN</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Nhập thời gian, đối tượng, biểu mẫu; công bố</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Kế hoạch năm được phê duyệt</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Đợt nhận hồ sơ công khai &amp; thông báo</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03. Lập đề xuất</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Giảng viên / Chủ nhiệm</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Chọn đợt → nhập 4 nhóm thông tin → gửi</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Lý lịch khoa học, ý tưởng nghiên cứu</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Mã hồ sơ, trạng thái 'Chờ tiếp nhận'</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04. Kiểm tra hồ sơ</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Rà soát tính đầy đủ, tiếp nhận hoặc trả bổ sung</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Hồ sơ đề xuất và tệp đính kèm</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Hồ sơ hợp lệ hoặc thông báo sửa</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05. Tổng hợp danh mục</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Phòng KHCN</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Tổng hợp đề xuất theo lĩnh vực, kinh phí</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Danh sách hồ sơ hợp lệ</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Danh mục đề xuất trình Hội đồng</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06. Duyệt danh mục</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Hội đồng KH&amp;ĐT / Lãnh đạo</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Xem danh mục, ghi ý kiến đánh giá sơ bộ</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Danh mục đề xuất và nhận xét</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Hồ sơ được làm thuyết minh chi tiết</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07. Hoàn thiện thuyết minh</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Chủ nhiệm đề tài</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Bổ sung mục tiêu, phương pháp, dự toán chi tiết</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Kết luận vòng 1, mẫu thuyết minh</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Bộ hồ sơ thuyết minh hoàn chỉnh</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08. Đánh giá tuyển chọn</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Phòng KHCN &amp; Hội đồng</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Lập hội đồng, gửi tài liệu, chấm điểm, lập biên bản</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Thuyết minh đề tài &amp; tiêu chí chấm</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Kết quả đánh giá và biên bản hội đồng</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09. Thẩm định kinh phí</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KHCN, Tài chính, Lãnh đạo</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Rà soát định mức dự toán, xác nhận mức cấp</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Dự toán chi tiết theo nội dung</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Bảng kinh phí được phê duyệt</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10. Giao việc &amp; Hợp đồng</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Chủ nhiệm, KHCN, Lãnh đạo</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Hoàn thiện hợp đồng, lưu quyết định giao nhiệm vụ</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Hồ sơ phê duyệt, dự thảo hợp đồng</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Chuyển trạng thái 'Đang thực hiện'</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11. Khởi động &amp; Giao việc</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Chủ nhiệm &amp; Thành viên</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Tách kế hoạch thành các mốc cụ thể, giao người</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Hợp đồng nghiên cứu đã ký</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Trục tiến độ Gantt kích hoạt</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12. Thực hiện &amp; Báo cáo</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Chủ nhiệm &amp; Thành viên</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Cập nhật kết quả mốc, đính kèm minh chứng</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Số liệu thực nghiệm, tài liệu mốc</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Báo cáo mốc chờ KHCN kiểm tra</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13. Xác nhận tiến độ</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Kiểm tra minh chứng, bấm xác nhận hoặc yêu cầu sửa</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Báo cáo mốc, sản phẩm trung gian</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Tiến độ được ghi nhận chính thức</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14. Đề nghị nghiệm thu</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Chủ nhiệm đề tài</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Nộp báo cáo tổng kết, minh chứng bài báo/sản phẩm</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Báo cáo hoàn chỉnh, danh mục sản phẩm</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Hồ sơ chuyển 'Chờ nghiệm thu'</w:t>
            </w:r>
          </w:p>
        </w:tc>
      </w:tr>
      <w:tr>
        <w:trPr>
          <w:cantSplit/>
        </w:trPr>
        <w:tc>
          <w:tcPr>
            <w:tcW w:type="dxa" w:w="1417"/>
            <w:tcMar>
              <w:top w:w="100" w:type="dxa"/>
              <w:bottom w:w="100" w:type="dxa"/>
              <w:left w:w="140" w:type="dxa"/>
              <w:right w:w="140" w:type="dxa"/>
            </w:tcMar>
          </w:tcPr>
          <w:p>
            <w:pPr>
              <w:spacing w:before="0" w:after="0" w:line="276" w:lineRule="auto"/>
            </w:pPr>
            <w:r>
              <w:rPr>
                <w:rFonts w:ascii="Arial" w:hAnsi="Arial"/>
                <w:color w:val="1E293B"/>
                <w:sz w:val="17"/>
              </w:rPr>
              <w:t>15. Hội đồng nghiệm thu</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Phòng KHCN, Hội đồng</w:t>
            </w:r>
          </w:p>
        </w:tc>
        <w:tc>
          <w:tcPr>
            <w:tcW w:type="dxa" w:w="2268"/>
            <w:tcMar>
              <w:top w:w="100" w:type="dxa"/>
              <w:bottom w:w="100" w:type="dxa"/>
              <w:left w:w="140" w:type="dxa"/>
              <w:right w:w="140" w:type="dxa"/>
            </w:tcMar>
          </w:tcPr>
          <w:p>
            <w:pPr>
              <w:spacing w:before="0" w:after="0" w:line="276" w:lineRule="auto"/>
            </w:pPr>
            <w:r>
              <w:rPr>
                <w:rFonts w:ascii="Arial" w:hAnsi="Arial"/>
                <w:color w:val="1E293B"/>
                <w:sz w:val="17"/>
              </w:rPr>
              <w:t>Tổ chức họp nghiệm thu, chấm điểm, lập kết luận</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Báo cáo tổng kết, phiếu đánh giá</w:t>
            </w:r>
          </w:p>
        </w:tc>
        <w:tc>
          <w:tcPr>
            <w:tcW w:type="dxa" w:w="1928"/>
            <w:tcMar>
              <w:top w:w="100" w:type="dxa"/>
              <w:bottom w:w="100" w:type="dxa"/>
              <w:left w:w="140" w:type="dxa"/>
              <w:right w:w="140" w:type="dxa"/>
            </w:tcMar>
          </w:tcPr>
          <w:p>
            <w:pPr>
              <w:spacing w:before="0" w:after="0" w:line="276" w:lineRule="auto"/>
            </w:pPr>
            <w:r>
              <w:rPr>
                <w:rFonts w:ascii="Arial" w:hAnsi="Arial"/>
                <w:color w:val="1E293B"/>
                <w:sz w:val="17"/>
              </w:rPr>
              <w:t>Biên bản nghiệm thu &amp; yêu cầu hoàn thiện</w:t>
            </w:r>
          </w:p>
        </w:tc>
      </w:tr>
      <w:tr>
        <w:trPr>
          <w:cantSplit/>
        </w:trPr>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16. Quyết toán &amp; Đóng hồ sơ</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Chủ nhiệm, KHCN, Tài chính</w:t>
            </w:r>
          </w:p>
        </w:tc>
        <w:tc>
          <w:tcPr>
            <w:tcW w:type="dxa" w:w="2268"/>
            <w:shd w:fill="F8FAFC"/>
            <w:tcMar>
              <w:top w:w="100" w:type="dxa"/>
              <w:bottom w:w="100" w:type="dxa"/>
              <w:left w:w="140" w:type="dxa"/>
              <w:right w:w="140" w:type="dxa"/>
            </w:tcMar>
          </w:tcPr>
          <w:p>
            <w:pPr>
              <w:spacing w:before="0" w:after="0" w:line="276" w:lineRule="auto"/>
            </w:pPr>
            <w:r>
              <w:rPr>
                <w:rFonts w:ascii="Arial" w:hAnsi="Arial"/>
                <w:color w:val="1E293B"/>
                <w:sz w:val="17"/>
              </w:rPr>
              <w:t>Đối soát kinh phí thực chi, thanh lý hợp đồng</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Chứng từ tài chính, biên bản nghiệm thu</w:t>
            </w:r>
          </w:p>
        </w:tc>
        <w:tc>
          <w:tcPr>
            <w:tcW w:type="dxa" w:w="1928"/>
            <w:shd w:fill="F8FAFC"/>
            <w:tcMar>
              <w:top w:w="100" w:type="dxa"/>
              <w:bottom w:w="100" w:type="dxa"/>
              <w:left w:w="140" w:type="dxa"/>
              <w:right w:w="140" w:type="dxa"/>
            </w:tcMar>
          </w:tcPr>
          <w:p>
            <w:pPr>
              <w:spacing w:before="0" w:after="0" w:line="276" w:lineRule="auto"/>
            </w:pPr>
            <w:r>
              <w:rPr>
                <w:rFonts w:ascii="Arial" w:hAnsi="Arial"/>
                <w:color w:val="1E293B"/>
                <w:sz w:val="17"/>
              </w:rPr>
              <w:t>Đề tài hoàn thành; lưu trữ điện tử</w:t>
            </w:r>
          </w:p>
        </w:tc>
      </w:tr>
    </w:tbl>
    <w:p>
      <w:pPr>
        <w:spacing w:before="0" w:after="80"/>
      </w:pPr>
    </w:p>
    <w:p>
      <w:pPr>
        <w:keepNext/>
        <w:spacing w:before="240" w:after="80"/>
      </w:pPr>
      <w:r>
        <w:rPr>
          <w:rFonts w:ascii="Arial" w:hAnsi="Arial"/>
          <w:b/>
          <w:color w:val="4336A4"/>
          <w:sz w:val="24"/>
        </w:rPr>
        <w:t>5.4. Thiết kế 4 vùng màn hình Tiến độ đề tài (Kế thừa phong cách trực quan)</w:t>
      </w:r>
    </w:p>
    <w:p>
      <w:pPr>
        <w:pStyle w:val="ListBullet"/>
        <w:spacing w:before="0" w:after="60" w:line="288" w:lineRule="auto"/>
      </w:pPr>
      <w:r>
        <w:rPr>
          <w:rFonts w:ascii="Arial" w:hAnsi="Arial"/>
          <w:b/>
          <w:color w:val="1E293B"/>
          <w:sz w:val="20"/>
        </w:rPr>
        <w:t>Tên đề tài, mã số, chủ nhiệm, đơn vị chủ trì, thời gian bắt đầu/kết thúc, trạng thái hiện tại, người chịu trách nhiệm xử lý tiếp theo, kinh phí được duyệt và danh mục sản phẩm cam kết.</w:t>
      </w:r>
      <w:r>
        <w:rPr>
          <w:rFonts w:ascii="Arial" w:hAnsi="Arial"/>
          <w:color w:val="1E293B"/>
          <w:sz w:val="20"/>
        </w:rPr>
        <w:t xml:space="preserve">Vùng 1 — Đầu trang tổng quan: </w:t>
      </w:r>
    </w:p>
    <w:p>
      <w:pPr>
        <w:pStyle w:val="ListBullet"/>
        <w:spacing w:before="0" w:after="60" w:line="288" w:lineRule="auto"/>
      </w:pPr>
      <w:r>
        <w:rPr>
          <w:rFonts w:ascii="Arial" w:hAnsi="Arial"/>
          <w:b/>
          <w:color w:val="1E293B"/>
          <w:sz w:val="20"/>
        </w:rPr>
        <w:t>Thể hiện trực quan các giai đoạn: Chuẩn bị phương pháp → Thu thập mẫu dược liệu → Thử nghiệm phân tích → Xử lý số liệu → Báo cáo &amp; Nghiệm thu. Hiển thị rõ mốc hoàn thành (xanh lá), đang làm (xanh dương), sắp đến hạn (vàng) và quá hạn (đỏ).</w:t>
      </w:r>
      <w:r>
        <w:rPr>
          <w:rFonts w:ascii="Arial" w:hAnsi="Arial"/>
          <w:color w:val="1E293B"/>
          <w:sz w:val="20"/>
        </w:rPr>
        <w:t xml:space="preserve">Vùng 2 — Trục thời gian trực quan (Gantt): </w:t>
      </w:r>
    </w:p>
    <w:p>
      <w:pPr>
        <w:pStyle w:val="ListBullet"/>
        <w:spacing w:before="0" w:after="60" w:line="288" w:lineRule="auto"/>
      </w:pPr>
      <w:r>
        <w:rPr>
          <w:rFonts w:ascii="Arial" w:hAnsi="Arial"/>
          <w:b/>
          <w:color w:val="1E293B"/>
          <w:sz w:val="20"/>
        </w:rPr>
        <w:t>Cột nội dung công việc, người phụ trách, thời hạn kế hoạch, tỷ lệ tự báo cáo (%), tỷ lệ đã xác nhận (%), tài liệu minh chứng đính kèm và ý kiến phản hồi.</w:t>
      </w:r>
      <w:r>
        <w:rPr>
          <w:rFonts w:ascii="Arial" w:hAnsi="Arial"/>
          <w:color w:val="1E293B"/>
          <w:sz w:val="20"/>
        </w:rPr>
        <w:t xml:space="preserve">Vùng 3 — Bảng danh sách công việc chi tiết: </w:t>
      </w:r>
    </w:p>
    <w:p>
      <w:pPr>
        <w:pStyle w:val="ListBullet"/>
        <w:spacing w:before="0" w:after="60" w:line="288" w:lineRule="auto"/>
      </w:pPr>
      <w:r>
        <w:rPr>
          <w:rFonts w:ascii="Arial" w:hAnsi="Arial"/>
          <w:b/>
          <w:color w:val="1E293B"/>
          <w:sz w:val="20"/>
        </w:rPr>
        <w:t>Giảng viên gửi báo cáo kết quả và tải minh chứng; chuyên viên Phòng KHCN ghi ý kiến xác nhận hoặc yêu cầu giải trình; lưu trữ toàn bộ lịch sử trao đổi theo thời gian.</w:t>
      </w:r>
      <w:r>
        <w:rPr>
          <w:rFonts w:ascii="Arial" w:hAnsi="Arial"/>
          <w:color w:val="1E293B"/>
          <w:sz w:val="20"/>
        </w:rPr>
        <w:t xml:space="preserve">Vùng 4 — Khung cập nhật và lưu vết xử lý: </w:t>
      </w:r>
    </w:p>
    <w:tbl>
      <w:tblPr>
        <w:tblW w:type="auto" w:w="0"/>
        <w:jc w:val="center"/>
        <w:tblLayout w:type="fixed"/>
        <w:tblLook w:firstColumn="1" w:firstRow="1" w:lastColumn="0" w:lastRow="0" w:noHBand="0" w:noVBand="1" w:val="04A0"/>
      </w:tblPr>
      <w:tblGrid>
        <w:gridCol w:w="9354"/>
      </w:tblGrid>
      <w:tr>
        <w:tc>
          <w:tcPr>
            <w:tcW w:type="dxa" w:w="9355"/>
            <w:shd w:fill="F4F6FD"/>
            <w:tcBorders>
              <w:top w:val="none"/>
              <w:left w:val="single" w:sz="28" w:space="0" w:color="4336A4"/>
              <w:bottom w:val="none"/>
              <w:right w:val="none"/>
            </w:tcBorders>
            <w:tcMar>
              <w:top w:w="160" w:type="dxa"/>
              <w:bottom w:w="160" w:type="dxa"/>
              <w:left w:w="220" w:type="dxa"/>
              <w:right w:w="180" w:type="dxa"/>
            </w:tcMar>
          </w:tcPr>
          <w:p>
            <w:pPr>
              <w:spacing w:line="288" w:lineRule="auto" w:after="40"/>
            </w:pPr>
            <w:r>
              <w:rPr>
                <w:rFonts w:ascii="Arial" w:hAnsi="Arial"/>
                <w:b/>
                <w:color w:val="4336A4"/>
                <w:sz w:val="20"/>
              </w:rPr>
              <w:t>KIỂM SOÁT TIẾN ĐỘ THỰC CHẤT</w:t>
              <w:br/>
            </w:r>
            <w:r>
              <w:rPr>
                <w:rFonts w:ascii="Arial" w:hAnsi="Arial"/>
                <w:color w:val="1E293B"/>
                <w:sz w:val="19"/>
              </w:rPr>
              <w:t>Đặc biệt chú ý nguyên tắc 3 chỉ số tiến độ: Trên giao diện đặt cạnh nhau 3 con số: (1) Tỷ lệ kế hoạch theo thời gian trôi qua; (2) Tỷ lệ Giảng viên tự kê khai; (3) Tỷ lệ Phòng KHCN đã xác nhận có minh chứng hợp lệ. Hệ thống tuyệt đối không tự động coi việc giảng viên đánh dấu 'hoàn thành' là đã đạt 100% khi chưa có sự xác nhận của Phòng KHCN.</w:t>
            </w:r>
          </w:p>
        </w:tc>
      </w:tr>
    </w:tbl>
    <w:p>
      <w:pPr>
        <w:spacing w:before="0" w:after="80"/>
      </w:pPr>
    </w:p>
    <w:p>
      <w:pPr>
        <w:keepNext/>
        <w:spacing w:before="320" w:after="120"/>
      </w:pPr>
      <w:r>
        <w:rPr>
          <w:rFonts w:ascii="Arial" w:hAnsi="Arial"/>
          <w:b/>
          <w:color w:val="111B35"/>
          <w:sz w:val="28"/>
        </w:rPr>
        <w:t>PHẦN 6. DANH MỤC VÀ KIẾN TRÚC 46 MÀN HÌNH ĐỀ XUẤT</w:t>
      </w:r>
    </w:p>
    <w:p>
      <w:pPr>
        <w:spacing w:before="0" w:after="80" w:line="300" w:lineRule="auto"/>
      </w:pPr>
      <w:r>
        <w:rPr>
          <w:rFonts w:ascii="Arial" w:hAnsi="Arial"/>
          <w:color w:val="1E293B"/>
          <w:sz w:val="21"/>
        </w:rPr>
        <w:t>Tài liệu 03_DANH_MUC_MAN_HINH_VA_THAO_TAC_V2.md xác định 46 màn hình chức năng bao quát mọi không gian làm việc. Dưới đây là bảng tổng hợp chi tiết nhằm giúp Thầy cô và Chuyên viên dễ dàng hình dung từng vị trí thao tác.</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1871"/>
        <w:gridCol w:w="1871"/>
        <w:gridCol w:w="1871"/>
        <w:gridCol w:w="1871"/>
        <w:gridCol w:w="1871"/>
      </w:tblGrid>
      <w:tr>
        <w:trPr>
          <w:tblHeader/>
          <w:cantSplit/>
        </w:trPr>
        <w:tc>
          <w:tcPr>
            <w:tcW w:type="dxa" w:w="567"/>
            <w:shd w:fill="111B35"/>
            <w:tcMar>
              <w:top w:w="140" w:type="dxa"/>
              <w:bottom w:w="140" w:type="dxa"/>
              <w:left w:w="140" w:type="dxa"/>
              <w:right w:w="140" w:type="dxa"/>
            </w:tcMar>
          </w:tcPr>
          <w:p>
            <w:pPr>
              <w:spacing w:before="0" w:after="0"/>
            </w:pPr>
            <w:r>
              <w:rPr>
                <w:rFonts w:ascii="Arial" w:hAnsi="Arial"/>
                <w:b/>
                <w:color w:val="FFFFFF"/>
                <w:sz w:val="18"/>
              </w:rPr>
              <w:t>STT</w:t>
            </w:r>
          </w:p>
        </w:tc>
        <w:tc>
          <w:tcPr>
            <w:tcW w:type="dxa" w:w="2154"/>
            <w:shd w:fill="111B35"/>
            <w:tcMar>
              <w:top w:w="140" w:type="dxa"/>
              <w:bottom w:w="140" w:type="dxa"/>
              <w:left w:w="140" w:type="dxa"/>
              <w:right w:w="140" w:type="dxa"/>
            </w:tcMar>
          </w:tcPr>
          <w:p>
            <w:pPr>
              <w:spacing w:before="0" w:after="0"/>
            </w:pPr>
            <w:r>
              <w:rPr>
                <w:rFonts w:ascii="Arial" w:hAnsi="Arial"/>
                <w:b/>
                <w:color w:val="FFFFFF"/>
                <w:sz w:val="18"/>
              </w:rPr>
              <w:t>Tên màn hình</w:t>
            </w:r>
          </w:p>
        </w:tc>
        <w:tc>
          <w:tcPr>
            <w:tcW w:type="dxa" w:w="1417"/>
            <w:shd w:fill="111B35"/>
            <w:tcMar>
              <w:top w:w="140" w:type="dxa"/>
              <w:bottom w:w="140" w:type="dxa"/>
              <w:left w:w="140" w:type="dxa"/>
              <w:right w:w="140" w:type="dxa"/>
            </w:tcMar>
          </w:tcPr>
          <w:p>
            <w:pPr>
              <w:spacing w:before="0" w:after="0"/>
            </w:pPr>
            <w:r>
              <w:rPr>
                <w:rFonts w:ascii="Arial" w:hAnsi="Arial"/>
                <w:b/>
                <w:color w:val="FFFFFF"/>
                <w:sz w:val="18"/>
              </w:rPr>
              <w:t>Người sử dụng</w:t>
            </w:r>
          </w:p>
        </w:tc>
        <w:tc>
          <w:tcPr>
            <w:tcW w:type="dxa" w:w="3231"/>
            <w:shd w:fill="111B35"/>
            <w:tcMar>
              <w:top w:w="140" w:type="dxa"/>
              <w:bottom w:w="140" w:type="dxa"/>
              <w:left w:w="140" w:type="dxa"/>
              <w:right w:w="140" w:type="dxa"/>
            </w:tcMar>
          </w:tcPr>
          <w:p>
            <w:pPr>
              <w:spacing w:before="0" w:after="0"/>
            </w:pPr>
            <w:r>
              <w:rPr>
                <w:rFonts w:ascii="Arial" w:hAnsi="Arial"/>
                <w:b/>
                <w:color w:val="FFFFFF"/>
                <w:sz w:val="18"/>
              </w:rPr>
              <w:t>Dữ liệu &amp; Thao tác chính</w:t>
            </w:r>
          </w:p>
        </w:tc>
        <w:tc>
          <w:tcPr>
            <w:tcW w:type="dxa" w:w="1984"/>
            <w:shd w:fill="111B35"/>
            <w:tcMar>
              <w:top w:w="140" w:type="dxa"/>
              <w:bottom w:w="140" w:type="dxa"/>
              <w:left w:w="140" w:type="dxa"/>
              <w:right w:w="140" w:type="dxa"/>
            </w:tcMar>
          </w:tcPr>
          <w:p>
            <w:pPr>
              <w:spacing w:before="0" w:after="0"/>
            </w:pPr>
            <w:r>
              <w:rPr>
                <w:rFonts w:ascii="Arial" w:hAnsi="Arial"/>
                <w:b/>
                <w:color w:val="FFFFFF"/>
                <w:sz w:val="18"/>
              </w:rPr>
              <w:t>Điểm kiểm soát quan trọng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01</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Trang tổng quan Lãnh đạo</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Ban Giám đốc</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Xem số đề tài, kinh phí, công bố, cảnh báo chậm; lọc theo năm/khoa</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Không hiển thị dữ liệu bí mật ngoài thẩm quyền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02</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Bàn làm việc Phòng KHCN</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Hàng đợi hồ sơ chờ, mốc quá hạn, lịch hội đồng; nhận việc, trả bổ sung</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Hồ sơ không bị mất dấu vết khi chuyển người</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03</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Bàn làm việc Giảng viên</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Giảng viên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Đề tài cá nhân, việc cần làm, lịch nộp báo cáo; đăng ký mới</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Chỉ xem các hồ sơ thuộc phạm vi cá nhân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04</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Danh sách đợt đăng ký</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KHCN / Giảng viên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Danh sách đợt mở, thời gian, biểu mẫu nộp; mở đợt, nộp đề xuất</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Quy định rõ hạn chót nộp hồ sơ</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05</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Tạo đợt đăng ký mới</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Nhập năm, cấp nhiệm vụ, biểu mẫu, hạn nhận hồ sơ; công bố</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Chỉ công bố khi đã có quyết định phê duyệt đợt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06</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Đăng ký đề tài — Chung</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Nhập tên đề tài, cấp, lĩnh vực, đơn vị; kiểm tra trùng tên</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Bắt buộc điền đủ thông tin, hỗ trợ lưu nháp</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07</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Đăng ký đề tài — Nội dung</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Giảng viên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Nhập mục tiêu, phương pháp, sản phẩm dự kiến; lưu nháp</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Hỗ trợ soạn thảo nội dung dài, không mất dữ liệu</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08</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Đăng ký đề tài — Nhân sự &amp; Kinh phí</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Chọn thành viên từ danh mục, nhập dự toán theo mục; kiểm tra</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Rõ ràng vai trò thành viên và nguồn kinh phí</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09</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Đăng ký đề tài — Đính kèm &amp; Nộp</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Giảng viên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Tải tệp thuyết minh, xem trước, kiểm tra danh mục bắt buộc; nộp</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Chỉ rõ tài liệu còn thiếu trước khi cho nộp</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10</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Chi tiết hồ sơ &amp; Lịch sử</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Toàn bộ thông tin, trạng thái, người giữ, lịch sử trả bổ sung</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Ghi nhận đầy đủ nhật ký thao tác (audit log)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11</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Danh sách tiếp nhận hồ sơ</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Hồ sơ chờ kiểm tra, thời điểm nộp; duyệt tiếp nhận hoặc trả bổ sung</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Không xóa dấu vết của hồ sơ không hợp lệ</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12</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Tổng hợp danh mục đề xuất</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KHCN / Lãnh đạo</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Tổng hợp theo khoa, lĩnh vực, kinh phí; xuất danh mục trình duyệt</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Cảnh báo trùng lặp hướng nghiên cứu giữa các khoa</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13</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Lịch &amp; Thành phần hội đồng</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Thư ký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Tạo phiên họp, mời thành viên, gửi hồ sơ tài liệu bảo mật</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Phân quyền tài liệu cho đúng thành viên được mời</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14</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Khai báo xung đột lợi ích (COI)</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Thành viên Hội đồng</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Kê khai mối quan hệ liên quan đề tài; cam kết khách quan</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Xử lý thay thế thành viên nếu phát sinh xung đột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15</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Phiếu nhận xét &amp; Chấm điểm</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Thành viên Hội đồng</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Tiêu chí chấm, đọc thuyết minh, nhập điểm, ghi kết luận; lưu nháp</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Thang điểm và tiêu chuẩn theo đúng quy chế</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16</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Tổng hợp kết quả hội đồng</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Thư ký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Tổng hợp phiếu chấm, lập dự thảo biên bản họp, ghi kiến nghị</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Không tự ý thay đổi ý kiến kết luận của hội đồng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17</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Thẩm định dự toán kinh phí</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KHCN / Tài chính</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Xem định mức, đối chiếu nội dung nghiên cứu, xác nhận mức cấp</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Phần mềm KHCN không thay thế sổ kế toán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18</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Ký hợp đồng &amp; Giao việc</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KHCN / Lãnh đạo / 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Văn bản phê duyệt, hợp đồng giao việc, sản phẩm cam kết</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Chỉ đánh dấu 'Đã ký' khi có chứng từ ký thực tế</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19</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Danh sách đề tài triển khai</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KHCN / Trưởng khoa</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Theo dõi danh sách đề tài đang làm, tiến độ, cảnh báo hạn</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Số liệu hiển thị theo tiến độ đã được kiểm chứng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20</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Hồ sơ đề tài đang thực hiện</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Thông tin chung, hợp đồng, các tab tiến độ, tài chính, sản phẩm</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Không tự ý sửa đổi sản phẩm cam kết ban đầu</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21</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Tiến độ đề tài — Dòng thời gian</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Trục thời gian Gantt, các mốc nghiên cứu, tình trạng đạt/chậm</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Kế thừa phong cách trực quan của Research Hub</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22</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Tiến độ đề tài — Danh sách việc</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Bảng công việc, hạn mốc, tỷ lệ tự khai vs xác nhận, minh chứng</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Tách bạch tỷ lệ tự khai và tỷ lệ đã phê duyệt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23</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Tiến độ đề tài — Bảng Kanban</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Các cột trạng thái: Chưa làm, Đang làm, Chờ duyệt, Đã xong</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Không cho phép kéo thả chuyển trạng thái vượt quyền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24</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Chi tiết mốc nghiên cứu</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Nội dung mốc, tiêu chí, người làm, tài liệu nộp, trao đổi</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Lưu vết toàn bộ quá trình nộp và thẩm định minh chứng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25</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Kiểm tra &amp; Xác nhận mốc</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Chuyên viên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Xem minh chứng giảng viên nộp, ghi ý kiến, bấm xác nhận mốc</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Ghi nhận rõ danh tính chuyên viên và ngày giờ duyệt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26</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Báo cáo tiến độ định kỳ</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Kỳ báo cáo 6 tháng/năm, kết quả đạt được, khó khăn, đề xuất</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Mẫu báo cáo tuân thủ quy chế quản lý hiện hành</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27</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Đề nghị điều chỉnh / gia hạn</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Lý do xin gia hạn/đổi thành viên, tài liệu căn cứ; duyệt đề nghị</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Kế hoạch cũ vẫn giữ nguyên tới khi có quyết định duyệt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28</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Đăng ký nghiệm thu</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Chủ nhiệm đề tài</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Nộp báo cáo tổng kết, sản phẩm cam kết, kiểm tra điều kiện</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Cảnh báo nếu chưa đủ minh chứng sản phẩm</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29</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Kiểm tra &amp; Tổ chức nghiệm thu</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KHCN / Thư ký</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Kiểm tra hồ sơ nghiệm thu, thành lập hội đồng, phát tài liệu</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Quy trình nghiệm thu 1 cấp hoặc 2 cấp theo quy định</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30</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Hoàn thiện sau nghiệm thu</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Xem kết luận hội đồng, danh sách cần sửa, nộp bản giải trình</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Lưu trữ phiên bản báo cáo trước và sau chỉnh sửa</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31</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Quyết toán &amp; Thanh lý</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KHCN / Tài chính</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Đối soát kinh phí tạm ứng, thực chi được duyệt, thanh lý hợp đồng</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Phải có xác nhận chính thức từ Phòng Tài chính</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32</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Lý lịch khoa học cá nhân</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Thông tin học vị, quá trình nghiên cứu, đề tài, bài báo, sáng chế</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Thành tích chính thức phải có nguồn kiểm chứng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33</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Danh mục Giảng viên &amp; Chuyên gia</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Phòng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Tìm kiếm theo học vị, chuyên môn; mời phản biện, hội đồng</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Bảo mật thông tin liên lạc cá nhân theo quy định</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34</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Kê khai &amp; Xác minh công bố</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Nhập bài báo, DOI, ISSN, chỉ mục WoS/Scopus; kiểm tra trùng</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Ghi nhận cả bài báo độc lập và bài báo từ đề tài</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35</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Quản lý Sở hữu trí tuệ</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Chủ nhiệm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Khai báo sáng chế, giải pháp hữu ích, quyền tác giả, văn bằng</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Bảo mật thông tin sáng chế trước khi nộp đơn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36</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Hồ sơ Hợp tác &amp; Chuyển giao</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KHCN / Hợp tác QT</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Đối tác, thỏa thuận MOU, dự án phối hợp, doanh thu chuyển giao</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Quản lý quyền riêng biệt cho hợp đồng kinh tế</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37</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Hội đồng Đạo đức y sinh</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Thư ký HĐĐĐ</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Đề cương nghiên cứu trên người, hồ sơ chấp thuận, biên bản họp</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Tuyệt đối không lưu dữ liệu bệnh án ngoài phạm vi</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38</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Hồ sơ Đạo đức động vật</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Thư ký HĐĐĐ</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Đối tượng thực nghiệm động vật, quy trình phúc lợi, kết luận</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Quy trình độc lập, không dùng chung mẫu trên người</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39</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Hội đồng Khoa học &amp; Đào tạo</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Thư ký HĐ KH&amp;ĐT</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Kế hoạch họp, nội dung trình, danh sách tham dự, kết luận</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Tuân thủ quy chế hoạt động riêng của Hội đồng KH&amp;ĐT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40</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Hồ sơ Hội đồng Giáo sư cơ sở</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Ứng viên / Thư ký</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Hồ sơ minh chứng tiêu chuẩn chức danh GS/PGS, chấm sơ bộ</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Phần mềm không tự công nhận chức danh thay hội đồng</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41</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Quản lý Hội nghị &amp; Hội thảo</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Đơn vị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Đề xuất sự kiện, kinh phí, diễn giả, bài tham luận, kỷ yếu</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Theo dõi đầy đủ từ chủ trương đến báo cáo kết quả</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42</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Biên soạn Giáo trình &amp; Sách</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Giảng viên / KHCN</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Đăng ký viết sách, nộp bản thảo, phản biện, nghiệm thu xuất bản</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Tách bạch quy trình thẩm định sách với bài báo</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43</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Kho hồ sơ khoa học điện tử</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Toàn Học viện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Tài liệu theo đề tài, hội đồng, hợp đồng; quản lý phiên bản</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Lưu trữ văn bản gốc đã ký duyệt số hóa an toàn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44</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Thông báo &amp; Việc cần làm</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Toàn bộ người dùng</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Danh sách thông báo, việc được giao, hạn xử lý; mở trực tiếp</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Không tiết lộ tên đề tài nhạy cảm qua thông báo ngoài</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45</w:t>
            </w:r>
          </w:p>
        </w:tc>
        <w:tc>
          <w:tcPr>
            <w:tcW w:type="dxa" w:w="2154"/>
            <w:tcMar>
              <w:top w:w="100" w:type="dxa"/>
              <w:bottom w:w="100" w:type="dxa"/>
              <w:left w:w="140" w:type="dxa"/>
              <w:right w:w="140" w:type="dxa"/>
            </w:tcMar>
          </w:tcPr>
          <w:p>
            <w:pPr>
              <w:spacing w:before="0" w:after="0" w:line="276" w:lineRule="auto"/>
            </w:pPr>
            <w:r>
              <w:rPr>
                <w:rFonts w:ascii="Arial" w:hAnsi="Arial"/>
                <w:color w:val="1E293B"/>
                <w:sz w:val="17"/>
              </w:rPr>
              <w:t>Báo cáo thống kê &amp; Biểu mẫu</w:t>
            </w:r>
          </w:p>
        </w:tc>
        <w:tc>
          <w:tcPr>
            <w:tcW w:type="dxa" w:w="1417"/>
            <w:tcMar>
              <w:top w:w="100" w:type="dxa"/>
              <w:bottom w:w="100" w:type="dxa"/>
              <w:left w:w="140" w:type="dxa"/>
              <w:right w:w="140" w:type="dxa"/>
            </w:tcMar>
          </w:tcPr>
          <w:p>
            <w:pPr>
              <w:spacing w:before="0" w:after="0" w:line="276" w:lineRule="auto"/>
            </w:pPr>
            <w:r>
              <w:rPr>
                <w:rFonts w:ascii="Arial" w:hAnsi="Arial"/>
                <w:color w:val="1E293B"/>
                <w:sz w:val="17"/>
              </w:rPr>
              <w:t>Lãnh đạo / KHCN</w:t>
            </w:r>
          </w:p>
        </w:tc>
        <w:tc>
          <w:tcPr>
            <w:tcW w:type="dxa" w:w="3231"/>
            <w:tcMar>
              <w:top w:w="100" w:type="dxa"/>
              <w:bottom w:w="100" w:type="dxa"/>
              <w:left w:w="140" w:type="dxa"/>
              <w:right w:w="140" w:type="dxa"/>
            </w:tcMar>
          </w:tcPr>
          <w:p>
            <w:pPr>
              <w:spacing w:before="0" w:after="0" w:line="276" w:lineRule="auto"/>
            </w:pPr>
            <w:r>
              <w:rPr>
                <w:rFonts w:ascii="Arial" w:hAnsi="Arial"/>
                <w:color w:val="1E293B"/>
                <w:sz w:val="17"/>
              </w:rPr>
              <w:t>Xuất báo cáo theo năm, đơn vị, cấp đề tài; truy xuất nguồn</w:t>
            </w:r>
          </w:p>
        </w:tc>
        <w:tc>
          <w:tcPr>
            <w:tcW w:type="dxa" w:w="1984"/>
            <w:tcMar>
              <w:top w:w="100" w:type="dxa"/>
              <w:bottom w:w="100" w:type="dxa"/>
              <w:left w:w="140" w:type="dxa"/>
              <w:right w:w="140" w:type="dxa"/>
            </w:tcMar>
          </w:tcPr>
          <w:p>
            <w:pPr>
              <w:spacing w:before="0" w:after="0" w:line="276" w:lineRule="auto"/>
            </w:pPr>
            <w:r>
              <w:rPr>
                <w:rFonts w:ascii="Arial" w:hAnsi="Arial"/>
                <w:color w:val="1E293B"/>
                <w:sz w:val="17"/>
              </w:rPr>
              <w:t>Công thức tính và nguồn số liệu phải được thống nhất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46</w:t>
            </w:r>
          </w:p>
        </w:tc>
        <w:tc>
          <w:tcPr>
            <w:tcW w:type="dxa" w:w="2154"/>
            <w:shd w:fill="F8FAFC"/>
            <w:tcMar>
              <w:top w:w="100" w:type="dxa"/>
              <w:bottom w:w="100" w:type="dxa"/>
              <w:left w:w="140" w:type="dxa"/>
              <w:right w:w="140" w:type="dxa"/>
            </w:tcMar>
          </w:tcPr>
          <w:p>
            <w:pPr>
              <w:spacing w:before="0" w:after="0" w:line="276" w:lineRule="auto"/>
            </w:pPr>
            <w:r>
              <w:rPr>
                <w:rFonts w:ascii="Arial" w:hAnsi="Arial"/>
                <w:color w:val="1E293B"/>
                <w:sz w:val="17"/>
              </w:rPr>
              <w:t>Phân quyền &amp; Lịch sử xử lý</w:t>
            </w:r>
          </w:p>
        </w:tc>
        <w:tc>
          <w:tcPr>
            <w:tcW w:type="dxa" w:w="1417"/>
            <w:shd w:fill="F8FAFC"/>
            <w:tcMar>
              <w:top w:w="100" w:type="dxa"/>
              <w:bottom w:w="100" w:type="dxa"/>
              <w:left w:w="140" w:type="dxa"/>
              <w:right w:w="140" w:type="dxa"/>
            </w:tcMar>
          </w:tcPr>
          <w:p>
            <w:pPr>
              <w:spacing w:before="0" w:after="0" w:line="276" w:lineRule="auto"/>
            </w:pPr>
            <w:r>
              <w:rPr>
                <w:rFonts w:ascii="Arial" w:hAnsi="Arial"/>
                <w:color w:val="1E293B"/>
                <w:sz w:val="17"/>
              </w:rPr>
              <w:t>Quản trị hệ thống</w:t>
            </w:r>
          </w:p>
        </w:tc>
        <w:tc>
          <w:tcPr>
            <w:tcW w:type="dxa" w:w="3231"/>
            <w:shd w:fill="F8FAFC"/>
            <w:tcMar>
              <w:top w:w="100" w:type="dxa"/>
              <w:bottom w:w="100" w:type="dxa"/>
              <w:left w:w="140" w:type="dxa"/>
              <w:right w:w="140" w:type="dxa"/>
            </w:tcMar>
          </w:tcPr>
          <w:p>
            <w:pPr>
              <w:spacing w:before="0" w:after="0" w:line="276" w:lineRule="auto"/>
            </w:pPr>
            <w:r>
              <w:rPr>
                <w:rFonts w:ascii="Arial" w:hAnsi="Arial"/>
                <w:color w:val="1E293B"/>
                <w:sz w:val="17"/>
              </w:rPr>
              <w:t>Ma trận vai trò, quyền xem/sửa/duyệt, tra cứu nhật ký hệ thống</w:t>
            </w:r>
          </w:p>
        </w:tc>
        <w:tc>
          <w:tcPr>
            <w:tcW w:type="dxa" w:w="1984"/>
            <w:shd w:fill="F8FAFC"/>
            <w:tcMar>
              <w:top w:w="100" w:type="dxa"/>
              <w:bottom w:w="100" w:type="dxa"/>
              <w:left w:w="140" w:type="dxa"/>
              <w:right w:w="140" w:type="dxa"/>
            </w:tcMar>
          </w:tcPr>
          <w:p>
            <w:pPr>
              <w:spacing w:before="0" w:after="0" w:line="276" w:lineRule="auto"/>
            </w:pPr>
            <w:r>
              <w:rPr>
                <w:rFonts w:ascii="Arial" w:hAnsi="Arial"/>
                <w:color w:val="1E293B"/>
                <w:sz w:val="17"/>
              </w:rPr>
              <w:t>Lịch sử nghiệp vụ không thể bị can thiệp, sửa đổi</w:t>
            </w:r>
          </w:p>
        </w:tc>
      </w:tr>
    </w:tbl>
    <w:p>
      <w:pPr>
        <w:spacing w:before="0" w:after="80"/>
      </w:pPr>
    </w:p>
    <w:p>
      <w:pPr>
        <w:keepNext/>
        <w:spacing w:before="320" w:after="120"/>
      </w:pPr>
      <w:r>
        <w:rPr>
          <w:rFonts w:ascii="Arial" w:hAnsi="Arial"/>
          <w:b/>
          <w:color w:val="111B35"/>
          <w:sz w:val="28"/>
        </w:rPr>
        <w:t>PHẦN 7. ĐỀ XUẤT THỨ TỰ VÀ LỘ TRÌNH TRIỂN KHAI</w:t>
      </w:r>
    </w:p>
    <w:p>
      <w:pPr>
        <w:spacing w:before="0" w:after="80" w:line="300" w:lineRule="auto"/>
      </w:pPr>
      <w:r>
        <w:rPr>
          <w:rFonts w:ascii="Arial" w:hAnsi="Arial"/>
          <w:color w:val="1E293B"/>
          <w:sz w:val="21"/>
        </w:rPr>
        <w:t>Nhằm đảm bảo tính khả thi cao nhất, tránh rủi ro 'dàn hàng ngang' làm chậm tiến độ, hệ thống được thiết kế theo phương án phân kỳ 3 đợt. Mỗi đợt đều có mục tiêu cụ thể, nghiệm thu độc lập và đưa vào sử dụng thực tế ngay.</w:t>
      </w:r>
    </w:p>
    <w:p>
      <w:pPr>
        <w:keepNext/>
        <w:spacing w:before="240" w:after="80"/>
      </w:pPr>
      <w:r>
        <w:rPr>
          <w:rFonts w:ascii="Arial" w:hAnsi="Arial"/>
          <w:b/>
          <w:color w:val="4336A4"/>
          <w:sz w:val="24"/>
        </w:rPr>
        <w:t>Đợt 1 — Sử dụng được ngay cho Đề tài cấp Học viện (Core MVP)</w:t>
      </w:r>
    </w:p>
    <w:p>
      <w:pPr>
        <w:pStyle w:val="ListBullet"/>
        <w:spacing w:before="0" w:after="60" w:line="288" w:lineRule="auto"/>
      </w:pPr>
      <w:r>
        <w:rPr>
          <w:rFonts w:ascii="Arial" w:hAnsi="Arial"/>
          <w:b/>
          <w:color w:val="1E293B"/>
          <w:sz w:val="20"/>
        </w:rPr>
        <w:t>Cơ sở dữ liệu đơn vị &amp; giảng viên (F01, F02); Cổng đăng ký và tiếp nhận hồ sơ (F04); Đánh giá và lập hội đồng (F06); Phê duyệt và giao nhiệm vụ (F05); Quản lý tiến độ đề tài mốc (F07); Nghiệm thu đề tài (F05); Kho hồ sơ tài liệu cơ bản (F19); Thông báo và nhắc việc (F20); Dashboard Ban Giám đốc (F13); Phân quyền bảo mật (F21).</w:t>
      </w:r>
      <w:r>
        <w:rPr>
          <w:rFonts w:ascii="Arial" w:hAnsi="Arial"/>
          <w:color w:val="1E293B"/>
          <w:sz w:val="20"/>
        </w:rPr>
        <w:t xml:space="preserve">Phạm vi chức năng: </w:t>
      </w:r>
    </w:p>
    <w:p>
      <w:pPr>
        <w:pStyle w:val="ListBullet"/>
        <w:spacing w:before="0" w:after="60" w:line="288" w:lineRule="auto"/>
      </w:pPr>
      <w:r>
        <w:rPr>
          <w:rFonts w:ascii="Arial" w:hAnsi="Arial"/>
          <w:b/>
          <w:color w:val="1E293B"/>
          <w:sz w:val="20"/>
        </w:rPr>
        <w:t>Số hóa toàn diện luồng công việc của ~50 đề tài cấp Học viện mỗi năm, giúp Giảng viên và Phòng KHCN làm việc trên môi trường trực tuyến ngay từ kỳ nghiên cứu đầu tiên.</w:t>
      </w:r>
      <w:r>
        <w:rPr>
          <w:rFonts w:ascii="Arial" w:hAnsi="Arial"/>
          <w:color w:val="1E293B"/>
          <w:sz w:val="20"/>
        </w:rPr>
        <w:t xml:space="preserve">Giá trị đạt được: </w:t>
      </w:r>
    </w:p>
    <w:p>
      <w:pPr>
        <w:keepNext/>
        <w:spacing w:before="240" w:after="80"/>
      </w:pPr>
      <w:r>
        <w:rPr>
          <w:rFonts w:ascii="Arial" w:hAnsi="Arial"/>
          <w:b/>
          <w:color w:val="4336A4"/>
          <w:sz w:val="24"/>
        </w:rPr>
        <w:t>Đợt 2 — Hoàn thiện quản trị kết quả, kinh phí và liên thông dữ liệu</w:t>
      </w:r>
    </w:p>
    <w:p>
      <w:pPr>
        <w:pStyle w:val="ListBullet"/>
        <w:spacing w:before="0" w:after="60" w:line="288" w:lineRule="auto"/>
      </w:pPr>
      <w:r>
        <w:rPr>
          <w:rFonts w:ascii="Arial" w:hAnsi="Arial"/>
          <w:b/>
          <w:color w:val="1E293B"/>
          <w:sz w:val="20"/>
        </w:rPr>
        <w:t>Xây dựng kế hoạch KHCN năm và trung hạn (F03); Quản lý đối soát kinh phí nhiệm vụ (F08); Kê khai và xác minh bài báo công bố khoa học (F09); Quản lý tài sản trí tuệ và sáng chế (F10); Hồ sơ hợp tác nghiên cứu và chuyển giao (F11); Báo cáo tổng hợp theo biểu mẫu Bộ Y tế/GD&amp;ĐT (F12).</w:t>
      </w:r>
      <w:r>
        <w:rPr>
          <w:rFonts w:ascii="Arial" w:hAnsi="Arial"/>
          <w:color w:val="1E293B"/>
          <w:sz w:val="20"/>
        </w:rPr>
        <w:t xml:space="preserve">Phạm vi chức năng: </w:t>
      </w:r>
    </w:p>
    <w:p>
      <w:pPr>
        <w:pStyle w:val="ListBullet"/>
        <w:spacing w:before="0" w:after="60" w:line="288" w:lineRule="auto"/>
      </w:pPr>
      <w:r>
        <w:rPr>
          <w:rFonts w:ascii="Arial" w:hAnsi="Arial"/>
          <w:b/>
          <w:color w:val="1E293B"/>
          <w:sz w:val="20"/>
        </w:rPr>
        <w:t>Hình thành kho tài sản tri thức của Học viện, phục vụ công tác kiểm định chất lượng và báo cáo cơ quan chủ quản.</w:t>
      </w:r>
      <w:r>
        <w:rPr>
          <w:rFonts w:ascii="Arial" w:hAnsi="Arial"/>
          <w:color w:val="1E293B"/>
          <w:sz w:val="20"/>
        </w:rPr>
        <w:t xml:space="preserve">Giá trị đạt được: </w:t>
      </w:r>
    </w:p>
    <w:p>
      <w:pPr>
        <w:keepNext/>
        <w:spacing w:before="240" w:after="80"/>
      </w:pPr>
      <w:r>
        <w:rPr>
          <w:rFonts w:ascii="Arial" w:hAnsi="Arial"/>
          <w:b/>
          <w:color w:val="4336A4"/>
          <w:sz w:val="24"/>
        </w:rPr>
        <w:t>Đợt 3 — Các quy trình hội đồng chuyên biệt và mở rộng</w:t>
      </w:r>
    </w:p>
    <w:p>
      <w:pPr>
        <w:pStyle w:val="ListBullet"/>
        <w:spacing w:before="0" w:after="60" w:line="288" w:lineRule="auto"/>
      </w:pPr>
      <w:r>
        <w:rPr>
          <w:rFonts w:ascii="Arial" w:hAnsi="Arial"/>
          <w:b/>
          <w:color w:val="1E293B"/>
          <w:sz w:val="20"/>
        </w:rPr>
        <w:t>Quản lý tổ chức hội nghị, hội thảo khoa học (F14); Hồ sơ Hội đồng đạo đức nghiên cứu y sinh &amp; động vật (F15); Biên soạn giáo trình, sách và tài liệu giảng dạy (F16); Hoạt động Hội đồng Khoa học &amp; Đào tạo (F17); Hồ sơ Hội đồng Giáo sư cơ sở (F18); Tích hợp chữ ký số và đồng bộ nhân sự nếu có điều kiện.</w:t>
      </w:r>
      <w:r>
        <w:rPr>
          <w:rFonts w:ascii="Arial" w:hAnsi="Arial"/>
          <w:color w:val="1E293B"/>
          <w:sz w:val="20"/>
        </w:rPr>
        <w:t xml:space="preserve">Phạm vi chức năng: </w:t>
      </w:r>
    </w:p>
    <w:p>
      <w:pPr>
        <w:pStyle w:val="ListBullet"/>
        <w:spacing w:before="0" w:after="60" w:line="288" w:lineRule="auto"/>
      </w:pPr>
      <w:r>
        <w:rPr>
          <w:rFonts w:ascii="Arial" w:hAnsi="Arial"/>
          <w:b/>
          <w:color w:val="1E293B"/>
          <w:sz w:val="20"/>
        </w:rPr>
        <w:t>Hoàn thiện hệ sinh thái số hóa toàn diện mọi hoạt động KHCN và học thuật của Học viện.</w:t>
      </w:r>
      <w:r>
        <w:rPr>
          <w:rFonts w:ascii="Arial" w:hAnsi="Arial"/>
          <w:color w:val="1E293B"/>
          <w:sz w:val="20"/>
        </w:rPr>
        <w:t xml:space="preserve">Giá trị đạt được: </w:t>
      </w:r>
    </w:p>
    <w:p>
      <w:pPr>
        <w:keepNext/>
        <w:spacing w:before="320" w:after="120"/>
      </w:pPr>
      <w:r>
        <w:rPr>
          <w:rFonts w:ascii="Arial" w:hAnsi="Arial"/>
          <w:b/>
          <w:color w:val="111B35"/>
          <w:sz w:val="28"/>
        </w:rPr>
        <w:t>PHẦN 8. BẢNG 38 NỘI DUNG CẦN HỌC VIỆN XÁC NHẬN</w:t>
      </w:r>
    </w:p>
    <w:p>
      <w:pPr>
        <w:spacing w:before="0" w:after="80" w:line="300" w:lineRule="auto"/>
      </w:pPr>
      <w:r>
        <w:rPr>
          <w:rFonts w:ascii="Arial" w:hAnsi="Arial"/>
          <w:color w:val="1E293B"/>
          <w:sz w:val="21"/>
        </w:rPr>
        <w:t>Để phần mềm triển khai chính xác theo đúng quy chế nội bộ, dưới đây là danh sách 38 nội dung cụ thể cần Phòng KHCN và các đơn vị liên quan xác nhận trước khi lập trình chính thức.</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2339"/>
        <w:gridCol w:w="2339"/>
        <w:gridCol w:w="2339"/>
        <w:gridCol w:w="2339"/>
      </w:tblGrid>
      <w:tr>
        <w:trPr>
          <w:tblHeader/>
          <w:cantSplit/>
        </w:trPr>
        <w:tc>
          <w:tcPr>
            <w:tcW w:type="dxa" w:w="567"/>
            <w:shd w:fill="111B35"/>
            <w:tcMar>
              <w:top w:w="140" w:type="dxa"/>
              <w:bottom w:w="140" w:type="dxa"/>
              <w:left w:w="140" w:type="dxa"/>
              <w:right w:w="140" w:type="dxa"/>
            </w:tcMar>
          </w:tcPr>
          <w:p>
            <w:pPr>
              <w:spacing w:before="0" w:after="0"/>
            </w:pPr>
            <w:r>
              <w:rPr>
                <w:rFonts w:ascii="Arial" w:hAnsi="Arial"/>
                <w:b/>
                <w:color w:val="FFFFFF"/>
                <w:sz w:val="18"/>
              </w:rPr>
              <w:t>STT</w:t>
            </w:r>
          </w:p>
        </w:tc>
        <w:tc>
          <w:tcPr>
            <w:tcW w:type="dxa" w:w="1814"/>
            <w:shd w:fill="111B35"/>
            <w:tcMar>
              <w:top w:w="140" w:type="dxa"/>
              <w:bottom w:w="140" w:type="dxa"/>
              <w:left w:w="140" w:type="dxa"/>
              <w:right w:w="140" w:type="dxa"/>
            </w:tcMar>
          </w:tcPr>
          <w:p>
            <w:pPr>
              <w:spacing w:before="0" w:after="0"/>
            </w:pPr>
            <w:r>
              <w:rPr>
                <w:rFonts w:ascii="Arial" w:hAnsi="Arial"/>
                <w:b/>
                <w:color w:val="FFFFFF"/>
                <w:sz w:val="18"/>
              </w:rPr>
              <w:t>Chủ đề nghiệp vụ</w:t>
            </w:r>
          </w:p>
        </w:tc>
        <w:tc>
          <w:tcPr>
            <w:tcW w:type="dxa" w:w="4139"/>
            <w:shd w:fill="111B35"/>
            <w:tcMar>
              <w:top w:w="140" w:type="dxa"/>
              <w:bottom w:w="140" w:type="dxa"/>
              <w:left w:w="140" w:type="dxa"/>
              <w:right w:w="140" w:type="dxa"/>
            </w:tcMar>
          </w:tcPr>
          <w:p>
            <w:pPr>
              <w:spacing w:before="0" w:after="0"/>
            </w:pPr>
            <w:r>
              <w:rPr>
                <w:rFonts w:ascii="Arial" w:hAnsi="Arial"/>
                <w:b/>
                <w:color w:val="FFFFFF"/>
                <w:sz w:val="18"/>
              </w:rPr>
              <w:t>Nội dung cần xác nhận với Học viện</w:t>
            </w:r>
          </w:p>
        </w:tc>
        <w:tc>
          <w:tcPr>
            <w:tcW w:type="dxa" w:w="2835"/>
            <w:shd w:fill="111B35"/>
            <w:tcMar>
              <w:top w:w="140" w:type="dxa"/>
              <w:bottom w:w="140" w:type="dxa"/>
              <w:left w:w="140" w:type="dxa"/>
              <w:right w:w="140" w:type="dxa"/>
            </w:tcMar>
          </w:tcPr>
          <w:p>
            <w:pPr>
              <w:spacing w:before="0" w:after="0"/>
            </w:pPr>
            <w:r>
              <w:rPr>
                <w:rFonts w:ascii="Arial" w:hAnsi="Arial"/>
                <w:b/>
                <w:color w:val="FFFFFF"/>
                <w:sz w:val="18"/>
              </w:rPr>
              <w:t>Tài liệu/Đầu ra cần tiếp nhận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01</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Phạm vi</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21 nhóm chức năng đã bao quát đầy đủ mọi hoạt động Phòng KHCN đang quản lý chưa?</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Danh mục chức năng có xác nhận giữ/sửa/bổ sung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02</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Đợt triển khai</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Nhóm chức năng nào bắt buộc phải dùng được ngay trong Đợt 1?</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Danh sách phân kỳ ưu tiên có chữ ký phê duyệt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03</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Cơ cấu đơn vị</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Tên gọi chuẩn của các Khoa, Bộ môn, Phòng, Trung tâm và cấp trực thuộc?</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Sơ đồ tổ chức Học viện và danh mục đơn vị chuẩn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04</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Người dùng</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Số lượng cán bộ, giảng viên, chuyên viên, lãnh đạo và chuyên gia ngoài viện?</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Danh sách thông tin mẫu (đã loại bỏ dữ liệu cá nhân)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05</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Thẩm quyền duyệt</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Ai có quyền duyệt ở từng bước (Trưởng bộ môn, Trưởng phòng, Ban Giám đốc)?</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Ma trận phân quyền và quy định ủy quyền phê duyệt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06</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Văn bản pháp lý</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Quy chế, quy định quản lý hoạt động KHCN nào hiện đang có hiệu lực chính thức?</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Văn bản chính thức, số hiệu, ngày ký ban hành</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07</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Bộ biểu mẫu</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Bộ biểu mẫu đăng ký, thuyết minh, báo cáo, nghiệm thu, thanh lý hiện hành?</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Tập tin Word/Excel biểu mẫu gốc đang sử dụng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08</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Hồ sơ mẫu thực tế</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Cung cấp 2–3 bộ hồ sơ đề tài giảng viên đã xử lý từ đầu đến nghiệm thu?</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Hồ sơ mẫu thực tế (đã xóa thông tin nhạy cảm)</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09</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Tình huống ngoại lệ</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Quy trình xử lý khi đề tài xin gia hạn, đổi thành viên, hoặc nghiệm thu không đạt?</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Văn bản quy định hướng xử lý tình huống ngoại lệ</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10</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Thời hạn mở đợt</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Lịch mở đợt đăng ký hàng năm cố định hay linh hoạt? Ai ký thông báo?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Kế hoạch năm và quy trình phát hành thông báo đợt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11</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Cấp quản lý đề tài</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Phân loại quy trình đề tài cấp Học viện, cấp Bộ, cấp Tỉnh và hợp tác ra sao?</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Danh mục phân loại cấp đề tài và quy trình riêng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12</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Đề tài sinh viên</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Khoảng 10 đề tài SV/năm do đơn vị nào chủ trì? Giảng viên hướng dẫn xác nhận thế nào?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Quy định riêng về nghiên cứu khoa học của sinh viên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13</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Kế hoạch tiến độ</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Có bắt buộc chia mốc nghiên cứu không? Ai cập nhật và ai có thẩm quyền xác nhận?</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định về lập kế hoạch và thẩm định tiến độ mốc</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14</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Cách tính % tiến độ</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Tiến độ tính theo sản phẩm hoàn thành, theo mốc đạt hay chỉ theo trạng thái?</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Nguyên tắc tính toán phần trăm tiến độ được phê duyệt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15</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Báo cáo định kỳ</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Kỳ báo cáo tiến độ (3 tháng/6 tháng) và hạn chót nộp theo văn bản nào?</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Mẫu báo cáo tiến độ định kỳ và quy định thời hạn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16</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Quy trình điều chỉnh</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Những nội dung nào được phép xin điều chỉnh (thời gian, kinh phí, nhân sự)?</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Mẫu đơn đề nghị điều chỉnh và thẩm quyền phê duyệt</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17</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Cơ cấu hội đồng</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Các loại hội đồng KHCN hiện có, thành phần bắt buộc và điều kiện hợp lệ?</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chế thành lập và hoạt động của các hội đồng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18</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Tiêu chí chấm điểm</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Phiếu nhận xét, thang điểm chấm và quy tắc xếp loại đề tài nghiệm thu?</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Bộ tiêu chí chấm điểm và phiếu nhận xét chính thức</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19</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Xung đột lợi ích (COI)</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Quy định khai báo xung đột lợi ích của thành viên hội đồng và hướng xử lý?</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Mẫu cam kết COI và quy định xử lý khi có quan hệ</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20</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Đạo đức y sinh</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Thủ tục tiếp nhận, thẩm định hồ sơ nghiên cứu lâm sàng trên người?</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Quy chế Hội đồng Đạo đức trong nghiên cứu y sinh học</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21</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Đạo đức động vật</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Có hội đồng hoặc quy trình riêng cho nghiên cứu trên động vật thực nghiệm không?</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định áp dụng và bộ biểu mẫu đạo đức động vật</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22</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Hội đồng Giáo sư</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Quy trình thẩm định hồ sơ chức danh GS/PGS và phân quyền tài liệu ra sao?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Quy chế hoạt động của Hội đồng Giáo sư cơ sở</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23</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Hội đồng KH&amp;ĐT</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Hội đồng Khoa học &amp; Đào tạo họp những nội dung gì, bộ hồ sơ nào cần chuẩn bị?</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chế hoạt động của HĐ Khoa học &amp; Đào tạo</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24</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Phần mềm Tài chính</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Phòng Tài chính quản lý dự toán và giải ngân trên phần mềm kế toán nào?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Mẫu biên bản đối soát tài chính và đầu mối phối hợp</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25</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Công nhận bài báo</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Quy tắc kiểm chứng DOI, tạp chí WoS/Scopus, xếp hạng Q theo thời điểm xuất bản?</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định công nhận công bố khoa học của Học viện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26</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Quy tắc tính trùng</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Một bài báo có nhiều giảng viên/khoa đồng tác giả thì tính điểm thống kê thế nào?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Công thức và nguyên tắc tính điểm công bố chính thức</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27</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Bảo hộ SHTT</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Hồ sơ nào cần giữ bí mật trước khi nộp đơn đăng ký bảo hộ sáng chế?</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định bảo mật và quy trình quản lý sở hữu trí tuệ</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28</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Chuyển giao công nghệ</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Hợp đồng chuyển giao, doanh thu và sản phẩm ứng dụng được quản lý thế nào?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Mẫu theo dõi và quy định thương mại hóa kết quả</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29</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Biên soạn giáo trình</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Các vòng thẩm định bản thảo, nghiệm thu và xuất bản giáo trình giảng dạy?</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chế biên soạn và thẩm định giáo trình Học viện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30</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Hội thảo khoa học</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Trình tự đề xuất, phê duyệt dự toán, tổ chức và lưu kỷ yếu hội thảo?</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Quy trình tổ chức hội nghị, hội thảo khoa học</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31</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5 báo cáo ưu tiên</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Nêu tên 5 mẫu báo cáo bắt buộc phải xuất được đầu tiên cho Ban Giám đốc?</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5 tập tin biểu mẫu báo cáo thực tế đang dùng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32</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Lưu trữ hồ sơ số</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Những tài liệu nào bắt buộc phải lưu bản gốc giấy có dấu đỏ, bản nào lưu số?</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Quy định lưu trữ hồ sơ KHCN và danh mục hồ sơ</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33</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Bảo mật thông tin</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Dữ liệu nhạy cảm (bệnh nhân, sáng chế, nhân sự) được phân quyền truy cập ra sao?</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 chế bảo mật thông tin và an toàn dữ liệu</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34</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Chữ ký điện tử / SSO</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Học viện đã có hệ thống tài khoản tập trung (SSO) hoặc chữ ký số nội bộ chưa?</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Đặc tả kỹ thuật hạ tầng CNTT hiện tại của Học viện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35</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Liên thông hệ thống</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Khả năng kết nối API với hệ thống quản lý văn bản, nhân sự, đào tạo, HEMIS?</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Đầu mối kỹ thuật CNTT và tài liệu kỹ thuật liên thông</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36</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Làm sạch dữ liệu cũ</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Ai chịu trách nhiệm rà soát, làm sạch dữ liệu Excel/Word từ các năm trước?</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Phân công đầu mối quản lý và rà soát dữ liệu nguồn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37</w:t>
            </w:r>
          </w:p>
        </w:tc>
        <w:tc>
          <w:tcPr>
            <w:tcW w:type="dxa" w:w="1814"/>
            <w:tcMar>
              <w:top w:w="100" w:type="dxa"/>
              <w:bottom w:w="100" w:type="dxa"/>
              <w:left w:w="140" w:type="dxa"/>
              <w:right w:w="140" w:type="dxa"/>
            </w:tcMar>
          </w:tcPr>
          <w:p>
            <w:pPr>
              <w:spacing w:before="0" w:after="0" w:line="276" w:lineRule="auto"/>
            </w:pPr>
            <w:r>
              <w:rPr>
                <w:rFonts w:ascii="Arial" w:hAnsi="Arial"/>
                <w:color w:val="1E293B"/>
                <w:sz w:val="17"/>
              </w:rPr>
              <w:t>Đầu mối phối hợp</w:t>
            </w:r>
          </w:p>
        </w:tc>
        <w:tc>
          <w:tcPr>
            <w:tcW w:type="dxa" w:w="4139"/>
            <w:tcMar>
              <w:top w:w="100" w:type="dxa"/>
              <w:bottom w:w="100" w:type="dxa"/>
              <w:left w:w="140" w:type="dxa"/>
              <w:right w:w="140" w:type="dxa"/>
            </w:tcMar>
          </w:tcPr>
          <w:p>
            <w:pPr>
              <w:spacing w:before="0" w:after="0" w:line="276" w:lineRule="auto"/>
            </w:pPr>
            <w:r>
              <w:rPr>
                <w:rFonts w:ascii="Arial" w:hAnsi="Arial"/>
                <w:color w:val="1E293B"/>
                <w:sz w:val="17"/>
              </w:rPr>
              <w:t>Ai là người đại diện chính thức của Học viện để thống nhất các yêu cầu nghiệp vụ?</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Quyết định chỉ định tổ công tác hoặc đầu mối phụ trách</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38</w:t>
            </w:r>
          </w:p>
        </w:tc>
        <w:tc>
          <w:tcPr>
            <w:tcW w:type="dxa" w:w="1814"/>
            <w:shd w:fill="F8FAFC"/>
            <w:tcMar>
              <w:top w:w="100" w:type="dxa"/>
              <w:bottom w:w="100" w:type="dxa"/>
              <w:left w:w="140" w:type="dxa"/>
              <w:right w:w="140" w:type="dxa"/>
            </w:tcMar>
          </w:tcPr>
          <w:p>
            <w:pPr>
              <w:spacing w:before="0" w:after="0" w:line="276" w:lineRule="auto"/>
            </w:pPr>
            <w:r>
              <w:rPr>
                <w:rFonts w:ascii="Arial" w:hAnsi="Arial"/>
                <w:color w:val="1E293B"/>
                <w:sz w:val="17"/>
              </w:rPr>
              <w:t>Nghiệm thu phần mềm</w:t>
            </w:r>
          </w:p>
        </w:tc>
        <w:tc>
          <w:tcPr>
            <w:tcW w:type="dxa" w:w="4139"/>
            <w:shd w:fill="F8FAFC"/>
            <w:tcMar>
              <w:top w:w="100" w:type="dxa"/>
              <w:bottom w:w="100" w:type="dxa"/>
              <w:left w:w="140" w:type="dxa"/>
              <w:right w:w="140" w:type="dxa"/>
            </w:tcMar>
          </w:tcPr>
          <w:p>
            <w:pPr>
              <w:spacing w:before="0" w:after="0" w:line="276" w:lineRule="auto"/>
            </w:pPr>
            <w:r>
              <w:rPr>
                <w:rFonts w:ascii="Arial" w:hAnsi="Arial"/>
                <w:color w:val="1E293B"/>
                <w:sz w:val="17"/>
              </w:rPr>
              <w:t>Quy trình nghiệm thu hệ thống, loại hồ sơ dùng thử và tiêu chí chấp nhận?</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Kịch bản kiểm thử (UAT) và biên bản nghiệm thu phần mềm</w:t>
            </w:r>
          </w:p>
        </w:tc>
      </w:tr>
    </w:tbl>
    <w:p>
      <w:pPr>
        <w:spacing w:before="0" w:after="80"/>
      </w:pPr>
    </w:p>
    <w:p>
      <w:pPr>
        <w:keepNext/>
        <w:spacing w:before="320" w:after="120"/>
      </w:pPr>
      <w:r>
        <w:rPr>
          <w:rFonts w:ascii="Arial" w:hAnsi="Arial"/>
          <w:b/>
          <w:color w:val="111B35"/>
          <w:sz w:val="28"/>
        </w:rPr>
        <w:t>PHẦN 9. ĐỐI SOÁT CẢI TIẾN TỪ BẢN V1 SANG V2</w:t>
      </w:r>
    </w:p>
    <w:p>
      <w:pPr>
        <w:spacing w:before="0" w:after="80" w:line="300" w:lineRule="auto"/>
      </w:pPr>
      <w:r>
        <w:rPr>
          <w:rFonts w:ascii="Arial" w:hAnsi="Arial"/>
          <w:color w:val="1E293B"/>
          <w:sz w:val="21"/>
        </w:rPr>
        <w:t>Bộ đề xuất V2 đã giải quyết toàn diện 14 khoảng trống lớn từ bản thảo V1 sơ bộ trước đó, chuyển đổi tài liệu từ góc nhìn giải pháp kỹ thuật sang ngôn ngữ nghiệp vụ sư phạm thân thiện.</w:t>
      </w:r>
    </w:p>
    <w:tbl>
      <w:tblPr>
        <w:tblW w:type="auto" w:w="0"/>
        <w:jc w:val="center"/>
        <w:tblLayout w:type="fixed"/>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2339"/>
        <w:gridCol w:w="2339"/>
        <w:gridCol w:w="2339"/>
        <w:gridCol w:w="2339"/>
      </w:tblGrid>
      <w:tr>
        <w:trPr>
          <w:tblHeader/>
          <w:cantSplit/>
        </w:trPr>
        <w:tc>
          <w:tcPr>
            <w:tcW w:type="dxa" w:w="567"/>
            <w:shd w:fill="111B35"/>
            <w:tcMar>
              <w:top w:w="140" w:type="dxa"/>
              <w:bottom w:w="140" w:type="dxa"/>
              <w:left w:w="140" w:type="dxa"/>
              <w:right w:w="140" w:type="dxa"/>
            </w:tcMar>
          </w:tcPr>
          <w:p>
            <w:pPr>
              <w:spacing w:before="0" w:after="0"/>
            </w:pPr>
            <w:r>
              <w:rPr>
                <w:rFonts w:ascii="Arial" w:hAnsi="Arial"/>
                <w:b/>
                <w:color w:val="FFFFFF"/>
                <w:sz w:val="18"/>
              </w:rPr>
              <w:t>STT</w:t>
            </w:r>
          </w:p>
        </w:tc>
        <w:tc>
          <w:tcPr>
            <w:tcW w:type="dxa" w:w="2551"/>
            <w:shd w:fill="111B35"/>
            <w:tcMar>
              <w:top w:w="140" w:type="dxa"/>
              <w:bottom w:w="140" w:type="dxa"/>
              <w:left w:w="140" w:type="dxa"/>
              <w:right w:w="140" w:type="dxa"/>
            </w:tcMar>
          </w:tcPr>
          <w:p>
            <w:pPr>
              <w:spacing w:before="0" w:after="0"/>
            </w:pPr>
            <w:r>
              <w:rPr>
                <w:rFonts w:ascii="Arial" w:hAnsi="Arial"/>
                <w:b/>
                <w:color w:val="FFFFFF"/>
                <w:sz w:val="18"/>
              </w:rPr>
              <w:t>Điểm cần cải thiện ở V1</w:t>
            </w:r>
          </w:p>
        </w:tc>
        <w:tc>
          <w:tcPr>
            <w:tcW w:type="dxa" w:w="2835"/>
            <w:shd w:fill="111B35"/>
            <w:tcMar>
              <w:top w:w="140" w:type="dxa"/>
              <w:bottom w:w="140" w:type="dxa"/>
              <w:left w:w="140" w:type="dxa"/>
              <w:right w:w="140" w:type="dxa"/>
            </w:tcMar>
          </w:tcPr>
          <w:p>
            <w:pPr>
              <w:spacing w:before="0" w:after="0"/>
            </w:pPr>
            <w:r>
              <w:rPr>
                <w:rFonts w:ascii="Arial" w:hAnsi="Arial"/>
                <w:b/>
                <w:color w:val="FFFFFF"/>
                <w:sz w:val="18"/>
              </w:rPr>
              <w:t>Rủi ro nếu giữ nguyên</w:t>
            </w:r>
          </w:p>
        </w:tc>
        <w:tc>
          <w:tcPr>
            <w:tcW w:type="dxa" w:w="3402"/>
            <w:shd w:fill="111B35"/>
            <w:tcMar>
              <w:top w:w="140" w:type="dxa"/>
              <w:bottom w:w="140" w:type="dxa"/>
              <w:left w:w="140" w:type="dxa"/>
              <w:right w:w="140" w:type="dxa"/>
            </w:tcMar>
          </w:tcPr>
          <w:p>
            <w:pPr>
              <w:spacing w:before="0" w:after="0"/>
            </w:pPr>
            <w:r>
              <w:rPr>
                <w:rFonts w:ascii="Arial" w:hAnsi="Arial"/>
                <w:b/>
                <w:color w:val="FFFFFF"/>
                <w:sz w:val="18"/>
              </w:rPr>
              <w:t>Cách giải quyết ở bản V2</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01</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Dùng riêng 'Dì' và 'Học viện' như 2 chủ thể</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Gây khó hiểu, sai lệch thực chất bên đặt hàng</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Dùng 'Học viện' chung, phân vai theo vị trí công việc</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02</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Tiêu đề 'Danh sách phân hệ đặt hàng'</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Tạo cảm giác chốt cứng, mô tả tính năng quá ngắn</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Đổi thành 'Đề xuất chức năng', nêu nhu cầu &amp; kết quả</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03</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Nhiều thuật ngữ kỹ thuật tin học khó hiểu</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Thầy cô khó hình dung công việc thực tế</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Dùng ngôn ngữ công việc: nộp, kiểm tra, xác nhận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04</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Lợi ích mô tả chung chung, trừu tượng</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Không rõ hệ thống giúp giảm tải công việc gì</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Nêu rõ giá trị riêng cho Giảng viên, KHCN, Lãnh đạo</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05</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Quy trình đề tài cấp Học viện sơ sài</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Không thể kiểm thử bằng hồ sơ thực tế</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Thiết kế 16 bước chi tiết kèm vai trò, ngoại lệ, màn hình</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06</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Tiến độ đề tài chỉ có thanh % chung chung</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Gây ảo tưởng hoàn thành dù chưa có minh chứng</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Giữ Gantt trực quan, tách riêng tự khai vs xác nhận</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07</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Dữ liệu mẫu mang bối cảnh trường phổ thông</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Không phù hợp môi trường học thuật chuyên ngành</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Chuyển dữ liệu sang bối cảnh Y – Dược học cổ truyền</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08</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Nguy cơ gộp chung các hội đồng chuyên biệt</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Sai thẩm quyền, sai quy trình pháp lý</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Tách riêng luồng HĐ KHCN, Đạo đức y sinh, Giáo sư</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09</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Chưa phân biệt bài báo độc lập và từ đề tài</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Bỏ sót hoặc đếm trùng lặp công bố khoa học</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Quản lý công bố độc lập và liên kết linh hoạt với đề tài</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10</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Dễ bị hiểu là phần mềm thay thế kế toán</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Phạm vi phình to, xung đột số liệu tài chính</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KHCN theo dõi dự toán/tạm ứng; Tài chính chốt thực chi</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11</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Thiếu danh mục màn hình chi tiết</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Khó hình dung và khó nghiệm thu giao diện</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Xây dựng 46 màn hình đặc tả vai trò, dữ liệu, thao tác</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12</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Chỉ tiêu ghi cứng như yêu cầu bắt buộc</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Dự thảo chưa ban hành, thiếu tính linh hoạt</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Gắn nhãn 'cần xác nhận', cho phép cấu hình theo quy chế</w:t>
            </w:r>
          </w:p>
        </w:tc>
      </w:tr>
      <w:tr>
        <w:trPr>
          <w:cantSplit/>
        </w:trPr>
        <w:tc>
          <w:tcPr>
            <w:tcW w:type="dxa" w:w="567"/>
            <w:tcMar>
              <w:top w:w="100" w:type="dxa"/>
              <w:bottom w:w="100" w:type="dxa"/>
              <w:left w:w="140" w:type="dxa"/>
              <w:right w:w="140" w:type="dxa"/>
            </w:tcMar>
          </w:tcPr>
          <w:p>
            <w:pPr>
              <w:spacing w:before="0" w:after="0" w:line="276" w:lineRule="auto"/>
            </w:pPr>
            <w:r>
              <w:rPr>
                <w:rFonts w:ascii="Arial" w:hAnsi="Arial"/>
                <w:color w:val="1E293B"/>
                <w:sz w:val="17"/>
              </w:rPr>
              <w:t>13</w:t>
            </w:r>
          </w:p>
        </w:tc>
        <w:tc>
          <w:tcPr>
            <w:tcW w:type="dxa" w:w="2551"/>
            <w:tcMar>
              <w:top w:w="100" w:type="dxa"/>
              <w:bottom w:w="100" w:type="dxa"/>
              <w:left w:w="140" w:type="dxa"/>
              <w:right w:w="140" w:type="dxa"/>
            </w:tcMar>
          </w:tcPr>
          <w:p>
            <w:pPr>
              <w:spacing w:before="0" w:after="0" w:line="276" w:lineRule="auto"/>
            </w:pPr>
            <w:r>
              <w:rPr>
                <w:rFonts w:ascii="Arial" w:hAnsi="Arial"/>
                <w:color w:val="1E293B"/>
                <w:sz w:val="17"/>
              </w:rPr>
              <w:t>Chưa có danh mục biểu mẫu cần cung cấp</w:t>
            </w:r>
          </w:p>
        </w:tc>
        <w:tc>
          <w:tcPr>
            <w:tcW w:type="dxa" w:w="2835"/>
            <w:tcMar>
              <w:top w:w="100" w:type="dxa"/>
              <w:bottom w:w="100" w:type="dxa"/>
              <w:left w:w="140" w:type="dxa"/>
              <w:right w:w="140" w:type="dxa"/>
            </w:tcMar>
          </w:tcPr>
          <w:p>
            <w:pPr>
              <w:spacing w:before="0" w:after="0" w:line="276" w:lineRule="auto"/>
            </w:pPr>
            <w:r>
              <w:rPr>
                <w:rFonts w:ascii="Arial" w:hAnsi="Arial"/>
                <w:color w:val="1E293B"/>
                <w:sz w:val="17"/>
              </w:rPr>
              <w:t>Không thể chốt các trường dữ liệu biểu mẫu</w:t>
            </w:r>
          </w:p>
        </w:tc>
        <w:tc>
          <w:tcPr>
            <w:tcW w:type="dxa" w:w="3402"/>
            <w:tcMar>
              <w:top w:w="100" w:type="dxa"/>
              <w:bottom w:w="100" w:type="dxa"/>
              <w:left w:w="140" w:type="dxa"/>
              <w:right w:w="140" w:type="dxa"/>
            </w:tcMar>
          </w:tcPr>
          <w:p>
            <w:pPr>
              <w:spacing w:before="0" w:after="0" w:line="276" w:lineRule="auto"/>
            </w:pPr>
            <w:r>
              <w:rPr>
                <w:rFonts w:ascii="Arial" w:hAnsi="Arial"/>
                <w:color w:val="1E293B"/>
                <w:sz w:val="17"/>
              </w:rPr>
              <w:t>Lập checklist 38 câu hỏi và tài liệu cần cung cấp</w:t>
            </w:r>
          </w:p>
        </w:tc>
      </w:tr>
      <w:tr>
        <w:trPr>
          <w:cantSplit/>
        </w:trPr>
        <w:tc>
          <w:tcPr>
            <w:tcW w:type="dxa" w:w="567"/>
            <w:shd w:fill="F8FAFC"/>
            <w:tcMar>
              <w:top w:w="100" w:type="dxa"/>
              <w:bottom w:w="100" w:type="dxa"/>
              <w:left w:w="140" w:type="dxa"/>
              <w:right w:w="140" w:type="dxa"/>
            </w:tcMar>
          </w:tcPr>
          <w:p>
            <w:pPr>
              <w:spacing w:before="0" w:after="0" w:line="276" w:lineRule="auto"/>
            </w:pPr>
            <w:r>
              <w:rPr>
                <w:rFonts w:ascii="Arial" w:hAnsi="Arial"/>
                <w:color w:val="1E293B"/>
                <w:sz w:val="17"/>
              </w:rPr>
              <w:t>14</w:t>
            </w:r>
          </w:p>
        </w:tc>
        <w:tc>
          <w:tcPr>
            <w:tcW w:type="dxa" w:w="2551"/>
            <w:shd w:fill="F8FAFC"/>
            <w:tcMar>
              <w:top w:w="100" w:type="dxa"/>
              <w:bottom w:w="100" w:type="dxa"/>
              <w:left w:w="140" w:type="dxa"/>
              <w:right w:w="140" w:type="dxa"/>
            </w:tcMar>
          </w:tcPr>
          <w:p>
            <w:pPr>
              <w:spacing w:before="0" w:after="0" w:line="276" w:lineRule="auto"/>
            </w:pPr>
            <w:r>
              <w:rPr>
                <w:rFonts w:ascii="Arial" w:hAnsi="Arial"/>
                <w:color w:val="1E293B"/>
                <w:sz w:val="17"/>
              </w:rPr>
              <w:t>Prototype trước chỉ là demo sơ cấp</w:t>
            </w:r>
          </w:p>
        </w:tc>
        <w:tc>
          <w:tcPr>
            <w:tcW w:type="dxa" w:w="2835"/>
            <w:shd w:fill="F8FAFC"/>
            <w:tcMar>
              <w:top w:w="100" w:type="dxa"/>
              <w:bottom w:w="100" w:type="dxa"/>
              <w:left w:w="140" w:type="dxa"/>
              <w:right w:w="140" w:type="dxa"/>
            </w:tcMar>
          </w:tcPr>
          <w:p>
            <w:pPr>
              <w:spacing w:before="0" w:after="0" w:line="276" w:lineRule="auto"/>
            </w:pPr>
            <w:r>
              <w:rPr>
                <w:rFonts w:ascii="Arial" w:hAnsi="Arial"/>
                <w:color w:val="1E293B"/>
                <w:sz w:val="17"/>
              </w:rPr>
              <w:t>Không đủ tiêu chuẩn trình bày với Học viện</w:t>
            </w:r>
          </w:p>
        </w:tc>
        <w:tc>
          <w:tcPr>
            <w:tcW w:type="dxa" w:w="3402"/>
            <w:shd w:fill="F8FAFC"/>
            <w:tcMar>
              <w:top w:w="100" w:type="dxa"/>
              <w:bottom w:w="100" w:type="dxa"/>
              <w:left w:w="140" w:type="dxa"/>
              <w:right w:w="140" w:type="dxa"/>
            </w:tcMar>
          </w:tcPr>
          <w:p>
            <w:pPr>
              <w:spacing w:before="0" w:after="0" w:line="276" w:lineRule="auto"/>
            </w:pPr>
            <w:r>
              <w:rPr>
                <w:rFonts w:ascii="Arial" w:hAnsi="Arial"/>
                <w:color w:val="1E293B"/>
                <w:sz w:val="17"/>
              </w:rPr>
              <w:t>V2 thiết kế theo Research Hub hiện đại, chuyên nghiệp</w:t>
            </w:r>
          </w:p>
        </w:tc>
      </w:tr>
    </w:tbl>
    <w:p>
      <w:pPr>
        <w:spacing w:before="0" w:after="80"/>
      </w:pPr>
    </w:p>
    <w:p>
      <w:pPr>
        <w:keepNext/>
        <w:spacing w:before="240" w:after="80"/>
      </w:pPr>
      <w:r>
        <w:rPr>
          <w:rFonts w:ascii="Arial" w:hAnsi="Arial"/>
          <w:b/>
          <w:color w:val="4336A4"/>
          <w:sz w:val="24"/>
        </w:rPr>
        <w:t>Những nội dung nằm ngoài phạm vi prototype kỹ thuật</w:t>
      </w:r>
    </w:p>
    <w:p>
      <w:pPr>
        <w:pStyle w:val="ListBullet"/>
        <w:spacing w:before="0" w:after="60" w:line="288" w:lineRule="auto"/>
      </w:pPr>
      <w:r>
        <w:rPr>
          <w:rFonts w:ascii="Arial" w:hAnsi="Arial"/>
          <w:b/>
          <w:color w:val="1E293B"/>
          <w:sz w:val="20"/>
        </w:rPr>
        <w:t>Prototype chỉ mô phỏng nút xác nhận trên màn hình; chữ ký điện tử chính thức cần căn cứ vào hạ tầng chứng thư số của Học viện.</w:t>
      </w:r>
      <w:r>
        <w:rPr>
          <w:rFonts w:ascii="Arial" w:hAnsi="Arial"/>
          <w:color w:val="1E293B"/>
          <w:sz w:val="20"/>
        </w:rPr>
        <w:t xml:space="preserve">Chữ ký số có hiệu lực pháp lý: </w:t>
      </w:r>
    </w:p>
    <w:p>
      <w:pPr>
        <w:pStyle w:val="ListBullet"/>
        <w:spacing w:before="0" w:after="60" w:line="288" w:lineRule="auto"/>
      </w:pPr>
      <w:r>
        <w:rPr>
          <w:rFonts w:ascii="Arial" w:hAnsi="Arial"/>
          <w:b/>
          <w:color w:val="1E293B"/>
          <w:sz w:val="20"/>
        </w:rPr>
        <w:t>Phần mềm không thay thế hệ thống kế toán; việc thanh toán, chuyển khoản, xuất hóa đơn do Phòng Tài chính thực hiện trên phần mềm chuyên ngành.</w:t>
      </w:r>
      <w:r>
        <w:rPr>
          <w:rFonts w:ascii="Arial" w:hAnsi="Arial"/>
          <w:color w:val="1E293B"/>
          <w:sz w:val="20"/>
        </w:rPr>
        <w:t xml:space="preserve">Nghiệp vụ hạch toán tài chính: </w:t>
      </w:r>
    </w:p>
    <w:p>
      <w:pPr>
        <w:pStyle w:val="ListBullet"/>
        <w:spacing w:before="0" w:after="60" w:line="288" w:lineRule="auto"/>
      </w:pPr>
      <w:r>
        <w:rPr>
          <w:rFonts w:ascii="Arial" w:hAnsi="Arial"/>
          <w:b/>
          <w:color w:val="1E293B"/>
          <w:sz w:val="20"/>
        </w:rPr>
        <w:t>Prototype sử dụng dữ liệu giả lập minh họa; các kết quả nghiên cứu y sinh thực tế chỉ được nhập vào khi hệ thống chính thức vận hành.</w:t>
      </w:r>
      <w:r>
        <w:rPr>
          <w:rFonts w:ascii="Arial" w:hAnsi="Arial"/>
          <w:color w:val="1E293B"/>
          <w:sz w:val="20"/>
        </w:rPr>
        <w:t xml:space="preserve">Số liệu nghiên cứu chuyên sâu: </w:t>
      </w:r>
    </w:p>
    <w:p>
      <w:pPr>
        <w:keepNext/>
        <w:spacing w:before="320" w:after="120"/>
      </w:pPr>
      <w:r>
        <w:rPr>
          <w:rFonts w:ascii="Arial" w:hAnsi="Arial"/>
          <w:b/>
          <w:color w:val="111B35"/>
          <w:sz w:val="28"/>
        </w:rPr>
        <w:t>PHẦN 10. ĐỀ XUẤT BƯỚC TIẾP THEO VÀ KẾ HOẠCH LÀM VIỆC</w:t>
      </w:r>
    </w:p>
    <w:p>
      <w:pPr>
        <w:spacing w:before="0" w:after="80" w:line="300" w:lineRule="auto"/>
      </w:pPr>
      <w:r>
        <w:rPr>
          <w:rFonts w:ascii="Arial" w:hAnsi="Arial"/>
          <w:color w:val="1E293B"/>
          <w:sz w:val="21"/>
        </w:rPr>
        <w:t>Để chuẩn bị cho việc triển khai chính thức, nhóm đề xuất tổ chức một buổi làm việc nghiệp vụ chuyên sâu giữa đại diện nhóm xây dựng hệ thống và các bên liên quan của Học viện.</w:t>
      </w:r>
    </w:p>
    <w:p>
      <w:pPr>
        <w:keepNext/>
        <w:spacing w:before="240" w:after="80"/>
      </w:pPr>
      <w:r>
        <w:rPr>
          <w:rFonts w:ascii="Arial" w:hAnsi="Arial"/>
          <w:b/>
          <w:color w:val="4336A4"/>
          <w:sz w:val="24"/>
        </w:rPr>
        <w:t>Kịch bản buổi làm việc đầu tiên với hồ sơ thực tế</w:t>
      </w:r>
    </w:p>
    <w:p>
      <w:pPr>
        <w:pStyle w:val="ListBullet"/>
        <w:spacing w:before="0" w:after="60" w:line="288" w:lineRule="auto"/>
      </w:pPr>
      <w:r>
        <w:rPr>
          <w:rFonts w:ascii="Arial" w:hAnsi="Arial"/>
          <w:b/>
          <w:color w:val="1E293B"/>
          <w:sz w:val="20"/>
        </w:rPr>
        <w:t>Lựa chọn 01 bộ hồ sơ đề tài cấp Học viện đã nghiệm thu hoàn thành trong năm gần nhất để làm ví dụ xuyên suốt.</w:t>
      </w:r>
      <w:r>
        <w:rPr>
          <w:rFonts w:ascii="Arial" w:hAnsi="Arial"/>
          <w:color w:val="1E293B"/>
          <w:sz w:val="20"/>
        </w:rPr>
        <w:t xml:space="preserve">Hồ sơ mẫu làm cơ sở: </w:t>
      </w:r>
    </w:p>
    <w:p>
      <w:pPr>
        <w:pStyle w:val="ListBullet"/>
        <w:spacing w:before="0" w:after="60" w:line="288" w:lineRule="auto"/>
      </w:pPr>
      <w:r>
        <w:rPr>
          <w:rFonts w:ascii="Arial" w:hAnsi="Arial"/>
          <w:b/>
          <w:color w:val="1E293B"/>
          <w:sz w:val="20"/>
        </w:rPr>
        <w:t>Chủ nhiệm đề tài giới thiệu các bước đăng ký, nộp báo cáo và minh chứng; chuyên viên Phòng KHCN mô tả quy trình tiếp nhận, thành lập hội đồng và xác nhận; đại diện Phòng Tài chính đối soát quy trình cấp kinh phí.</w:t>
      </w:r>
      <w:r>
        <w:rPr>
          <w:rFonts w:ascii="Arial" w:hAnsi="Arial"/>
          <w:color w:val="1E293B"/>
          <w:sz w:val="20"/>
        </w:rPr>
        <w:t xml:space="preserve">Thực nghiệm đối soát: </w:t>
      </w:r>
    </w:p>
    <w:p>
      <w:pPr>
        <w:pStyle w:val="ListBullet"/>
        <w:spacing w:before="0" w:after="60" w:line="288" w:lineRule="auto"/>
      </w:pPr>
      <w:r>
        <w:rPr>
          <w:rFonts w:ascii="Arial" w:hAnsi="Arial"/>
          <w:b/>
          <w:color w:val="1E293B"/>
          <w:sz w:val="20"/>
        </w:rPr>
        <w:t>Thao tác trực tiếp các bước trên giao diện mẫu V2, đánh dấu rõ ràng điểm nào đã sát thực tế, điểm nào cần điều chỉnh theo quy chế đặc thù của Học viện.</w:t>
      </w:r>
      <w:r>
        <w:rPr>
          <w:rFonts w:ascii="Arial" w:hAnsi="Arial"/>
          <w:color w:val="1E293B"/>
          <w:sz w:val="20"/>
        </w:rPr>
        <w:t xml:space="preserve">Rà soát trên Prototype HTML: </w:t>
      </w:r>
    </w:p>
    <w:p>
      <w:pPr>
        <w:pStyle w:val="ListBullet"/>
        <w:spacing w:before="0" w:after="60" w:line="288" w:lineRule="auto"/>
      </w:pPr>
      <w:r>
        <w:rPr>
          <w:rFonts w:ascii="Arial" w:hAnsi="Arial"/>
          <w:b/>
          <w:color w:val="1E293B"/>
          <w:sz w:val="20"/>
        </w:rPr>
        <w:t>Thống nhất 5 màn hình cần lập trình đầu tiên, danh sách biểu mẫu chính thức cần nộp và chỉ định đầu mối phê duyệt nghiệm thu.</w:t>
      </w:r>
      <w:r>
        <w:rPr>
          <w:rFonts w:ascii="Arial" w:hAnsi="Arial"/>
          <w:color w:val="1E293B"/>
          <w:sz w:val="20"/>
        </w:rPr>
        <w:t xml:space="preserve">Kết quả đầu ra của buổi làm việc: </w:t>
      </w:r>
    </w:p>
    <w:p>
      <w:pPr>
        <w:keepNext/>
        <w:spacing w:before="240" w:after="80"/>
      </w:pPr>
      <w:r>
        <w:rPr>
          <w:rFonts w:ascii="Arial" w:hAnsi="Arial"/>
          <w:b/>
          <w:color w:val="4336A4"/>
          <w:sz w:val="24"/>
        </w:rPr>
        <w:t>Điều kiện tiên quyết để khởi động lập trình chính thức</w:t>
      </w:r>
    </w:p>
    <w:p>
      <w:pPr>
        <w:pStyle w:val="ListBullet"/>
        <w:spacing w:before="0" w:after="60" w:line="288" w:lineRule="auto"/>
      </w:pPr>
      <w:r>
        <w:rPr>
          <w:rFonts w:ascii="Arial" w:hAnsi="Arial"/>
          <w:color w:val="1E293B"/>
          <w:sz w:val="20"/>
        </w:rPr>
        <w:t>1. Có văn bản chỉ định đầu mối đại diện Học viện chịu trách nhiệm thống nhất yêu cầu nghiệp vụ.</w:t>
      </w:r>
    </w:p>
    <w:p>
      <w:pPr>
        <w:pStyle w:val="ListBullet"/>
        <w:spacing w:before="0" w:after="60" w:line="288" w:lineRule="auto"/>
      </w:pPr>
      <w:r>
        <w:rPr>
          <w:rFonts w:ascii="Arial" w:hAnsi="Arial"/>
          <w:color w:val="1E293B"/>
          <w:sz w:val="20"/>
        </w:rPr>
        <w:t>2. Quy trình đề tài cấp Học viện và thẩm quyền phê duyệt được lãnh đạo xác nhận bằng văn bản.</w:t>
      </w:r>
    </w:p>
    <w:p>
      <w:pPr>
        <w:pStyle w:val="ListBullet"/>
        <w:spacing w:before="0" w:after="60" w:line="288" w:lineRule="auto"/>
      </w:pPr>
      <w:r>
        <w:rPr>
          <w:rFonts w:ascii="Arial" w:hAnsi="Arial"/>
          <w:color w:val="1E293B"/>
          <w:sz w:val="20"/>
        </w:rPr>
        <w:t>3. Cung cấp đầy đủ bộ biểu mẫu Word/Excel đang có hiệu lực phục vụ cấu hình trường dữ liệu.</w:t>
      </w:r>
    </w:p>
    <w:p>
      <w:pPr>
        <w:pStyle w:val="ListBullet"/>
        <w:spacing w:before="0" w:after="60" w:line="288" w:lineRule="auto"/>
      </w:pPr>
      <w:r>
        <w:rPr>
          <w:rFonts w:ascii="Arial" w:hAnsi="Arial"/>
          <w:color w:val="1E293B"/>
          <w:sz w:val="20"/>
        </w:rPr>
        <w:t>4. Thống nhất tiêu chí nghiệm thu và phương án kiểm thử hệ thống (UAT).</w:t>
      </w:r>
    </w:p>
    <w:p>
      <w:pPr>
        <w:spacing w:before="0" w:after="80" w:line="300" w:lineRule="auto"/>
      </w:pPr>
      <w:r>
        <w:rPr>
          <w:rFonts w:ascii="Arial" w:hAnsi="Arial"/>
          <w:b/>
          <w:color w:val="1E293B"/>
          <w:sz w:val="21"/>
        </w:rPr>
        <w:t xml:space="preserve">Lời kết: </w:t>
      </w:r>
      <w:r>
        <w:rPr>
          <w:rFonts w:ascii="Arial" w:hAnsi="Arial"/>
          <w:color w:val="1E293B"/>
          <w:sz w:val="21"/>
        </w:rPr>
        <w:t>Tài liệu này được lập nhằm thống nhất tầm nhìn sản phẩm và phạm vi chức năng cần xây dựng; không thay thế hợp đồng kinh tế, quy chế chuyên môn hoặc hồ sơ nghiệm thu kỹ thuật cuối cùng.</w:t>
      </w:r>
    </w:p>
    <w:sectPr w:rsidR="00FC693F" w:rsidRPr="0006063C" w:rsidSect="00034616">
      <w:headerReference w:type="default" r:id="rId9"/>
      <w:footerReference w:type="default" r:id="rId10"/>
      <w:pgSz w:w="11906" w:h="16838"/>
      <w:pgMar w:top="1134" w:right="1134" w:bottom="1134" w:left="141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4748B"/>
        <w:sz w:val="17"/>
      </w:rPr>
      <w:t xml:space="preserve">Tài liệu đề xuất nghiệp vụ • Ngày 09/10/2026                 Trang </w:t>
    </w:r>
    <w:r>
      <w:rPr>
        <w:rFonts w:ascii="Arial" w:hAnsi="Arial"/>
        <w:color w:val="64748B"/>
        <w:sz w:val="17"/>
      </w:rPr>
      <w:fldChar w:fldCharType="begin"/>
      <w:instrText xml:space="preserve"> PAGE </w:instrText>
      <w:fldChar w:fldCharType="separate"/>
      <w:fldChar w:fldCharType="end"/>
    </w:r>
    <w:r>
      <w:rPr>
        <w:rFonts w:ascii="Arial" w:hAnsi="Arial"/>
        <w:color w:val="64748B"/>
        <w:sz w:val="17"/>
      </w:rPr>
      <w:t xml:space="preserve"> / </w:t>
    </w:r>
    <w:r>
      <w:rPr>
        <w:rFonts w:ascii="Arial" w:hAnsi="Arial"/>
        <w:color w:val="64748B"/>
        <w:sz w:val="17"/>
      </w:rPr>
      <w:fldChar w:fldCharType="begin"/>
      <w:instrText xml:space="preserve"> NUMPAGES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6"/>
      </w:rPr>
      <w:t>HỌC VIỆN Y – DƯỢC HỌC CỔ TRUYỀN VIỆT NAM — ĐỀ XUẤT HỆ THỐNG QUẢN LÝ KHCN (V2)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80" w:before="0"/>
    </w:pPr>
    <w:rPr>
      <w:rFonts w:ascii="Arial" w:hAnsi="Arial"/>
      <w:color w:val="1E29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